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8882" w14:textId="77777777" w:rsidR="00403D61" w:rsidRDefault="00403D61" w:rsidP="00403D61">
      <w:pPr>
        <w:rPr>
          <w:b/>
          <w:bCs/>
          <w:lang w:val="en-GB"/>
        </w:rPr>
      </w:pPr>
    </w:p>
    <w:p w14:paraId="77AABB03" w14:textId="003030B0" w:rsidR="00403D61" w:rsidRPr="00B147A7" w:rsidRDefault="00403D61" w:rsidP="00403D61">
      <w:pPr>
        <w:rPr>
          <w:b/>
          <w:bCs/>
          <w:highlight w:val="green"/>
          <w:lang w:val="en-GB"/>
        </w:rPr>
      </w:pPr>
      <w:r w:rsidRPr="00B147A7">
        <w:rPr>
          <w:b/>
          <w:bCs/>
          <w:lang w:val="en-GB"/>
        </w:rPr>
        <w:t>DEVELOPMENT OF THE GEOTHERMAL POTENTIAL STUDY</w:t>
      </w:r>
      <w:r w:rsidRPr="00B147A7">
        <w:rPr>
          <w:lang w:val="en-GB"/>
        </w:rPr>
        <w:t xml:space="preserve"> </w:t>
      </w:r>
      <w:r w:rsidRPr="00B147A7">
        <w:rPr>
          <w:b/>
          <w:bCs/>
          <w:lang w:val="en-GB"/>
        </w:rPr>
        <w:t>IN THE SVETA NEDELJA 2 EXPLORATION AREA UNDERWAY</w:t>
      </w:r>
    </w:p>
    <w:p w14:paraId="6BD55939" w14:textId="77777777" w:rsidR="00403D61" w:rsidRPr="00B147A7" w:rsidRDefault="00403D61" w:rsidP="00403D61">
      <w:pPr>
        <w:rPr>
          <w:highlight w:val="green"/>
          <w:lang w:val="en-GB"/>
        </w:rPr>
      </w:pPr>
    </w:p>
    <w:p w14:paraId="72CCD8B7" w14:textId="77777777" w:rsidR="00403D61" w:rsidRPr="00B147A7" w:rsidRDefault="00403D61" w:rsidP="00403D61">
      <w:pPr>
        <w:jc w:val="both"/>
        <w:rPr>
          <w:lang w:val="en-GB"/>
        </w:rPr>
      </w:pPr>
      <w:r w:rsidRPr="00B147A7">
        <w:rPr>
          <w:lang w:val="en-GB"/>
        </w:rPr>
        <w:t xml:space="preserve">The City of Sveta Nedelja has secured funding for the project " Development of documentation for the geothermal water exploration phase in the area of Sveta Nedelja " from Iceland, Liechtenstein and Norway through the EEA Financial Mechanism 2014 – 2021, as well as national co-funding </w:t>
      </w:r>
      <w:r>
        <w:rPr>
          <w:lang w:val="en-GB"/>
        </w:rPr>
        <w:t>from</w:t>
      </w:r>
      <w:r w:rsidRPr="00B147A7">
        <w:rPr>
          <w:lang w:val="en-GB"/>
        </w:rPr>
        <w:t xml:space="preserve"> the Republic of Croatia through the "Energy and climate change" Program.</w:t>
      </w:r>
    </w:p>
    <w:p w14:paraId="37A2CBCF" w14:textId="77777777" w:rsidR="00403D61" w:rsidRPr="00B147A7" w:rsidRDefault="00403D61" w:rsidP="00403D61">
      <w:pPr>
        <w:jc w:val="both"/>
        <w:rPr>
          <w:lang w:val="en-GB"/>
        </w:rPr>
      </w:pPr>
      <w:r w:rsidRPr="00B147A7">
        <w:rPr>
          <w:lang w:val="en-GB"/>
        </w:rPr>
        <w:t xml:space="preserve">The City of Sveta Nedelja has submitted the project </w:t>
      </w:r>
      <w:r>
        <w:rPr>
          <w:lang w:val="en-GB"/>
        </w:rPr>
        <w:t>en</w:t>
      </w:r>
      <w:r w:rsidRPr="00B147A7">
        <w:rPr>
          <w:lang w:val="en-GB"/>
        </w:rPr>
        <w:t>title</w:t>
      </w:r>
      <w:r>
        <w:rPr>
          <w:lang w:val="en-GB"/>
        </w:rPr>
        <w:t>d</w:t>
      </w:r>
      <w:r w:rsidRPr="00B147A7">
        <w:rPr>
          <w:lang w:val="en-GB"/>
        </w:rPr>
        <w:t xml:space="preserve"> "Development of technical documentation for the use of geothermal energy" and has secured a grant for the development of the technical documentation. The City of Sveta Nedelja is a beneficiary of the project along with partners EFLA Consulting Engineers from Iceland and EKOPLODOVI from Sveta Nedelja. </w:t>
      </w:r>
    </w:p>
    <w:p w14:paraId="7B718A41" w14:textId="77777777" w:rsidR="00403D61" w:rsidRPr="00B147A7" w:rsidRDefault="00403D61" w:rsidP="00403D61">
      <w:pPr>
        <w:jc w:val="both"/>
        <w:rPr>
          <w:highlight w:val="green"/>
          <w:lang w:val="en-GB"/>
        </w:rPr>
      </w:pPr>
      <w:r w:rsidRPr="00B147A7">
        <w:rPr>
          <w:lang w:val="en-GB"/>
        </w:rPr>
        <w:t xml:space="preserve">The total value </w:t>
      </w:r>
      <w:r>
        <w:rPr>
          <w:lang w:val="en-GB"/>
        </w:rPr>
        <w:t xml:space="preserve">of the </w:t>
      </w:r>
      <w:r w:rsidRPr="00B147A7">
        <w:rPr>
          <w:lang w:val="en-GB"/>
        </w:rPr>
        <w:t>project is €372,006.43, of which €316,205.47 (85%) is non-refundable. The project is to be carried out from 13 March 2022 to 13 March 2024.</w:t>
      </w:r>
    </w:p>
    <w:p w14:paraId="4DD1D972" w14:textId="77777777" w:rsidR="00403D61" w:rsidRPr="00B147A7" w:rsidRDefault="00403D61" w:rsidP="00403D61">
      <w:pPr>
        <w:jc w:val="both"/>
        <w:rPr>
          <w:lang w:val="en-GB"/>
        </w:rPr>
      </w:pPr>
      <w:r w:rsidRPr="00B147A7">
        <w:rPr>
          <w:lang w:val="en-GB"/>
        </w:rPr>
        <w:t>The City of Sveta Nedelja has launched a public tender procedure for the selection of the contractor for the Geothermal Potential Study of the Sveta Nedelja 2 geothermal water exploration area, and on 21 March 2023 signed a contract with GEODA CONSALTING d.o.o. from Zagreb, which will be the contractor for the Study. The value of the tendered services is EUR 41,250.00 including VAT, of which 85% is non-refundable.</w:t>
      </w:r>
    </w:p>
    <w:p w14:paraId="068FD1BE" w14:textId="77777777" w:rsidR="00403D61" w:rsidRPr="00B147A7" w:rsidRDefault="00403D61" w:rsidP="00403D61">
      <w:pPr>
        <w:jc w:val="both"/>
        <w:rPr>
          <w:lang w:val="en-GB"/>
        </w:rPr>
      </w:pPr>
      <w:r w:rsidRPr="00B147A7">
        <w:rPr>
          <w:lang w:val="en-GB"/>
        </w:rPr>
        <w:t xml:space="preserve">The </w:t>
      </w:r>
      <w:r>
        <w:rPr>
          <w:lang w:val="en-GB"/>
        </w:rPr>
        <w:t>objective</w:t>
      </w:r>
      <w:r w:rsidRPr="00B147A7">
        <w:rPr>
          <w:lang w:val="en-GB"/>
        </w:rPr>
        <w:t xml:space="preserve"> of the study is to identify the location of new geothermal wells in the Sveta Nedelja 2 exploration area. Once the priority areas have been identified, it </w:t>
      </w:r>
      <w:r>
        <w:rPr>
          <w:lang w:val="en-GB"/>
        </w:rPr>
        <w:t>will be</w:t>
      </w:r>
      <w:r w:rsidRPr="00B147A7">
        <w:rPr>
          <w:lang w:val="en-GB"/>
        </w:rPr>
        <w:t xml:space="preserve"> necessary to simulate the production from the geothermal reservoir, calculate the volume of the aquifer and prepare an economic analysis of the geothermal project.</w:t>
      </w:r>
    </w:p>
    <w:p w14:paraId="566E2C01" w14:textId="77777777" w:rsidR="00403D61" w:rsidRPr="00B147A7" w:rsidRDefault="00403D61" w:rsidP="00403D61">
      <w:pPr>
        <w:jc w:val="both"/>
        <w:rPr>
          <w:lang w:val="en-GB"/>
        </w:rPr>
      </w:pPr>
      <w:r w:rsidRPr="00B147A7">
        <w:rPr>
          <w:lang w:val="en-GB"/>
        </w:rPr>
        <w:t xml:space="preserve">The study </w:t>
      </w:r>
      <w:r>
        <w:rPr>
          <w:lang w:val="en-GB"/>
        </w:rPr>
        <w:t>includes</w:t>
      </w:r>
      <w:r w:rsidRPr="00B147A7">
        <w:rPr>
          <w:lang w:val="en-GB"/>
        </w:rPr>
        <w:t xml:space="preserve"> the acquisition, systematisation, analysis</w:t>
      </w:r>
      <w:r>
        <w:rPr>
          <w:lang w:val="en-GB"/>
        </w:rPr>
        <w:t xml:space="preserve"> and</w:t>
      </w:r>
      <w:r w:rsidRPr="00B147A7">
        <w:rPr>
          <w:lang w:val="en-GB"/>
        </w:rPr>
        <w:t xml:space="preserve"> interpretation/reinterpretation of geophysical data. Along with the analysis of existing and published data and the results of previous research (geological, geophysical, carotation, hydrodynamic, laboratory, structural-tectonic), the geological, physical, geochemical and petrochemical parameters of the pre-Cenozoic carbonate deposit will be determined.</w:t>
      </w:r>
    </w:p>
    <w:p w14:paraId="5B9B153A" w14:textId="77777777" w:rsidR="00403D61" w:rsidRPr="00B147A7" w:rsidRDefault="00403D61" w:rsidP="00403D61">
      <w:pPr>
        <w:jc w:val="both"/>
        <w:rPr>
          <w:lang w:val="en-GB"/>
        </w:rPr>
      </w:pPr>
      <w:r w:rsidRPr="00B147A7">
        <w:rPr>
          <w:lang w:val="en-GB"/>
        </w:rPr>
        <w:t>A scan of 30 MT points is proposed, with the arrangement shown in the figure. The depth measurement for all points is 3500 m. Magnetotelluric data must be processed, and at least a 1D/2D inversion of the points must be made.</w:t>
      </w:r>
    </w:p>
    <w:p w14:paraId="678A3D5E" w14:textId="77777777" w:rsidR="00403D61" w:rsidRPr="00B147A7" w:rsidRDefault="00403D61" w:rsidP="00403D61">
      <w:pPr>
        <w:jc w:val="both"/>
        <w:rPr>
          <w:lang w:val="en-GB"/>
        </w:rPr>
      </w:pPr>
      <w:r w:rsidRPr="00B147A7">
        <w:rPr>
          <w:lang w:val="en-GB"/>
        </w:rPr>
        <w:t>Upon completion of the study, work will commence on the development of the Conceptual Design for the Sveta Nedjelja GT-2 exploration well, including the location permit and the Conceptual Design of</w:t>
      </w:r>
      <w:r>
        <w:rPr>
          <w:lang w:val="en-GB"/>
        </w:rPr>
        <w:t xml:space="preserve"> the well drilling.</w:t>
      </w:r>
    </w:p>
    <w:p w14:paraId="51A96C57" w14:textId="77777777" w:rsidR="00403D61" w:rsidRDefault="00403D61" w:rsidP="00403D61">
      <w:pPr>
        <w:jc w:val="both"/>
        <w:rPr>
          <w:lang w:val="en-GB"/>
        </w:rPr>
      </w:pPr>
      <w:r w:rsidRPr="00B147A7">
        <w:rPr>
          <w:lang w:val="en-GB"/>
        </w:rPr>
        <w:t>More information on non-refundable grants can be found on the following websites</w:t>
      </w:r>
      <w:r>
        <w:rPr>
          <w:lang w:val="en-GB"/>
        </w:rPr>
        <w:t>:</w:t>
      </w:r>
    </w:p>
    <w:p w14:paraId="6BAE1E65" w14:textId="77777777" w:rsidR="00403D61" w:rsidRPr="00B147A7" w:rsidRDefault="00403D61" w:rsidP="00403D61">
      <w:pPr>
        <w:jc w:val="both"/>
        <w:rPr>
          <w:lang w:val="en-GB"/>
        </w:rPr>
      </w:pPr>
      <w:hyperlink r:id="rId9" w:history="1">
        <w:r w:rsidRPr="00B147A7">
          <w:rPr>
            <w:rStyle w:val="Hiperveza"/>
            <w:lang w:val="en-GB"/>
          </w:rPr>
          <w:t>https://eeagrants.hr/programi/energija-i-klimatske-promjene/</w:t>
        </w:r>
      </w:hyperlink>
    </w:p>
    <w:p w14:paraId="11D0EBE6" w14:textId="77777777" w:rsidR="00403D61" w:rsidRPr="00B147A7" w:rsidRDefault="00403D61" w:rsidP="00403D61">
      <w:pPr>
        <w:rPr>
          <w:lang w:val="en-GB"/>
        </w:rPr>
      </w:pPr>
      <w:hyperlink r:id="rId10" w:history="1">
        <w:r w:rsidRPr="00B147A7">
          <w:rPr>
            <w:rStyle w:val="Hiperveza"/>
            <w:lang w:val="en-GB"/>
          </w:rPr>
          <w:t>https://eeagrants.org/</w:t>
        </w:r>
      </w:hyperlink>
    </w:p>
    <w:p w14:paraId="16F69CEA" w14:textId="332FC397" w:rsidR="00403D61" w:rsidRPr="00B147A7" w:rsidRDefault="00CC1C1D" w:rsidP="00403D61">
      <w:pPr>
        <w:ind w:left="708" w:firstLine="708"/>
        <w:rPr>
          <w:color w:val="0000FF"/>
          <w:sz w:val="20"/>
          <w:u w:val="single" w:color="0000FF"/>
          <w:lang w:val="en-GB"/>
        </w:rPr>
      </w:pPr>
      <w:r>
        <w:rPr>
          <w:sz w:val="20"/>
          <w:lang w:val="en-GB"/>
        </w:rPr>
        <w:t>Working t</w:t>
      </w:r>
      <w:r w:rsidR="00403D61" w:rsidRPr="00B147A7">
        <w:rPr>
          <w:sz w:val="20"/>
          <w:lang w:val="en-GB"/>
        </w:rPr>
        <w:t>ogether for a</w:t>
      </w:r>
      <w:r w:rsidR="00403D61">
        <w:rPr>
          <w:sz w:val="20"/>
          <w:lang w:val="en-GB"/>
        </w:rPr>
        <w:t xml:space="preserve"> </w:t>
      </w:r>
      <w:r w:rsidR="00403D61" w:rsidRPr="00B147A7">
        <w:rPr>
          <w:color w:val="1FD17D"/>
          <w:sz w:val="20"/>
          <w:lang w:val="en-GB"/>
        </w:rPr>
        <w:t>gree</w:t>
      </w:r>
      <w:r w:rsidR="00403D61">
        <w:rPr>
          <w:color w:val="1FD17D"/>
          <w:sz w:val="20"/>
          <w:lang w:val="en-GB"/>
        </w:rPr>
        <w:t>n</w:t>
      </w:r>
      <w:r w:rsidR="00403D61" w:rsidRPr="00B147A7">
        <w:rPr>
          <w:sz w:val="20"/>
          <w:lang w:val="en-GB"/>
        </w:rPr>
        <w:t xml:space="preserve">, </w:t>
      </w:r>
      <w:r w:rsidR="00403D61" w:rsidRPr="00B147A7">
        <w:rPr>
          <w:color w:val="FF0016"/>
          <w:sz w:val="20"/>
          <w:lang w:val="en-GB"/>
        </w:rPr>
        <w:t xml:space="preserve">competitive </w:t>
      </w:r>
      <w:r w:rsidR="00403D61" w:rsidRPr="00B147A7">
        <w:rPr>
          <w:sz w:val="20"/>
          <w:lang w:val="en-GB"/>
        </w:rPr>
        <w:t xml:space="preserve">and </w:t>
      </w:r>
      <w:r w:rsidR="00403D61" w:rsidRPr="00B147A7">
        <w:rPr>
          <w:color w:val="002E94"/>
          <w:sz w:val="20"/>
          <w:lang w:val="en-GB"/>
        </w:rPr>
        <w:t xml:space="preserve">inclusive </w:t>
      </w:r>
      <w:r w:rsidR="00403D61" w:rsidRPr="00B147A7">
        <w:rPr>
          <w:sz w:val="20"/>
          <w:lang w:val="en-GB"/>
        </w:rPr>
        <w:t xml:space="preserve">Europe | </w:t>
      </w:r>
      <w:hyperlink r:id="rId11" w:history="1">
        <w:r w:rsidR="00403D61" w:rsidRPr="00B147A7">
          <w:rPr>
            <w:rStyle w:val="Hiperveza"/>
            <w:color w:val="0000FF"/>
            <w:sz w:val="20"/>
            <w:lang w:val="en-GB"/>
          </w:rPr>
          <w:t>www.eeagrants.hr</w:t>
        </w:r>
      </w:hyperlink>
    </w:p>
    <w:p w14:paraId="0DEE85FE" w14:textId="77777777" w:rsidR="00403D61" w:rsidRPr="00B147A7" w:rsidRDefault="00403D61" w:rsidP="00403D61">
      <w:pPr>
        <w:rPr>
          <w:sz w:val="20"/>
          <w:szCs w:val="20"/>
          <w:highlight w:val="green"/>
          <w:lang w:val="en-GB"/>
        </w:rPr>
      </w:pPr>
    </w:p>
    <w:p w14:paraId="1297119B" w14:textId="77777777" w:rsidR="00403D61" w:rsidRPr="00B147A7" w:rsidRDefault="00403D61" w:rsidP="00403D61">
      <w:pPr>
        <w:jc w:val="both"/>
        <w:rPr>
          <w:lang w:val="en-GB"/>
        </w:rPr>
      </w:pPr>
      <w:r w:rsidRPr="00B147A7">
        <w:rPr>
          <w:lang w:val="en-GB"/>
        </w:rPr>
        <w:t>The project " Development of technical documentation for the use of geothermal energy" is funded by Iceland, Liechtenstein and Norway through the EEA Financial Mechanism 2014-2021 with national co-funding from the Republic of Croatia under the "Energy and Climate Change" Programme.</w:t>
      </w:r>
    </w:p>
    <w:p w14:paraId="488B20DA" w14:textId="77777777" w:rsidR="00403D61" w:rsidRDefault="00403D61" w:rsidP="00403D61">
      <w:pPr>
        <w:jc w:val="both"/>
        <w:rPr>
          <w:lang w:val="en-GB"/>
        </w:rPr>
      </w:pPr>
      <w:r w:rsidRPr="00B147A7">
        <w:rPr>
          <w:lang w:val="en-GB"/>
        </w:rPr>
        <w:t>Sustainable development and protection of the environment are the goals of the project - once the projects follow</w:t>
      </w:r>
      <w:r>
        <w:rPr>
          <w:lang w:val="en-GB"/>
        </w:rPr>
        <w:t>ing</w:t>
      </w:r>
      <w:r w:rsidRPr="00B147A7">
        <w:rPr>
          <w:lang w:val="en-GB"/>
        </w:rPr>
        <w:t xml:space="preserve"> the drilling of the well and the acquisition of the exploitation field are completed, CO2 emissions will be reduced and energy will be used that is independent of weather conditions and the price of energy sources.</w:t>
      </w:r>
    </w:p>
    <w:p w14:paraId="10132C0E" w14:textId="77777777" w:rsidR="00403D61" w:rsidRPr="00B147A7" w:rsidRDefault="00403D61" w:rsidP="00403D61">
      <w:pPr>
        <w:jc w:val="both"/>
        <w:rPr>
          <w:lang w:val="en-GB"/>
        </w:rPr>
      </w:pPr>
    </w:p>
    <w:p w14:paraId="1C783838" w14:textId="77777777" w:rsidR="00403D61" w:rsidRPr="00403D61" w:rsidRDefault="00403D61" w:rsidP="00403D61">
      <w:pPr>
        <w:jc w:val="both"/>
        <w:rPr>
          <w:i/>
          <w:iCs/>
          <w:highlight w:val="green"/>
          <w:lang w:val="en-GB"/>
        </w:rPr>
      </w:pPr>
      <w:bookmarkStart w:id="0" w:name="_Hlk144669533"/>
      <w:r w:rsidRPr="00403D61">
        <w:rPr>
          <w:i/>
          <w:iCs/>
          <w:lang w:val="en-GB"/>
        </w:rPr>
        <w:t>The published content is the sole responsibility of the project promoter City of Sveta Nedelja and the project partners EKOPLODOVI d.o.o. and EFLA Consulting Engineers, and in no way reflects the views of the Energy and Climate Change Programme Manager.</w:t>
      </w:r>
    </w:p>
    <w:bookmarkEnd w:id="0"/>
    <w:p w14:paraId="2FECADF8" w14:textId="5ACC7280" w:rsidR="008C4BF4" w:rsidRPr="008C4BF4" w:rsidRDefault="008C4BF4" w:rsidP="00017F36">
      <w:pPr>
        <w:rPr>
          <w:rFonts w:ascii="Arial" w:hAnsi="Arial" w:cs="Arial"/>
          <w:lang w:val="en-GB"/>
        </w:rPr>
      </w:pPr>
    </w:p>
    <w:sectPr w:rsidR="008C4BF4" w:rsidRPr="008C4BF4" w:rsidSect="00FC12D8">
      <w:headerReference w:type="default" r:id="rId12"/>
      <w:footerReference w:type="default" r:id="rId13"/>
      <w:pgSz w:w="12240" w:h="15840"/>
      <w:pgMar w:top="1440" w:right="1440" w:bottom="1440" w:left="1440"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5048" w14:textId="77777777" w:rsidR="000B6459" w:rsidRDefault="000B6459" w:rsidP="00F110A5">
      <w:pPr>
        <w:spacing w:after="0" w:line="240" w:lineRule="auto"/>
      </w:pPr>
      <w:r>
        <w:separator/>
      </w:r>
    </w:p>
  </w:endnote>
  <w:endnote w:type="continuationSeparator" w:id="0">
    <w:p w14:paraId="67BDE8F8" w14:textId="77777777" w:rsidR="000B6459" w:rsidRDefault="000B6459" w:rsidP="00F11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2782" w14:textId="20116561" w:rsidR="00D64F73" w:rsidRPr="00472F34" w:rsidRDefault="00D64F73" w:rsidP="00472F34">
    <w:pPr>
      <w:pStyle w:val="Podnoje"/>
      <w:jc w:val="center"/>
      <w:rPr>
        <w:rFonts w:ascii="Arial" w:hAnsi="Arial" w:cs="Arial"/>
        <w:b/>
        <w:bCs/>
        <w:sz w:val="20"/>
        <w:szCs w:val="20"/>
        <w:lang w:val="en-GB"/>
      </w:rPr>
    </w:pPr>
    <w:r w:rsidRPr="00472F34">
      <w:rPr>
        <w:rFonts w:ascii="Arial" w:hAnsi="Arial" w:cs="Arial"/>
        <w:b/>
        <w:bCs/>
        <w:sz w:val="18"/>
        <w:szCs w:val="18"/>
        <w:lang w:val="en-GB"/>
      </w:rPr>
      <w:t xml:space="preserve">Working together for a </w:t>
    </w:r>
    <w:r w:rsidRPr="00472F34">
      <w:rPr>
        <w:rFonts w:ascii="Arial" w:hAnsi="Arial" w:cs="Arial"/>
        <w:b/>
        <w:bCs/>
        <w:color w:val="20D17F"/>
        <w:sz w:val="18"/>
        <w:szCs w:val="18"/>
        <w:lang w:val="en-GB"/>
      </w:rPr>
      <w:t>green</w:t>
    </w:r>
    <w:r w:rsidRPr="00472F34">
      <w:rPr>
        <w:rFonts w:ascii="Arial" w:hAnsi="Arial" w:cs="Arial"/>
        <w:b/>
        <w:bCs/>
        <w:color w:val="003096"/>
        <w:sz w:val="18"/>
        <w:szCs w:val="18"/>
        <w:lang w:val="en-GB"/>
      </w:rPr>
      <w:t xml:space="preserve"> </w:t>
    </w:r>
    <w:r w:rsidRPr="00472F34">
      <w:rPr>
        <w:rFonts w:ascii="Arial" w:hAnsi="Arial" w:cs="Arial"/>
        <w:b/>
        <w:bCs/>
        <w:sz w:val="18"/>
        <w:szCs w:val="18"/>
        <w:lang w:val="en-GB"/>
      </w:rPr>
      <w:t xml:space="preserve">Europe </w:t>
    </w:r>
    <w:r w:rsidRPr="00472F34">
      <w:rPr>
        <w:rFonts w:ascii="Courier New" w:hAnsi="Courier New" w:cs="Courier New"/>
        <w:b/>
        <w:bCs/>
        <w:sz w:val="18"/>
        <w:szCs w:val="18"/>
        <w:lang w:val="en-GB"/>
      </w:rPr>
      <w:t xml:space="preserve">| </w:t>
    </w:r>
    <w:r w:rsidRPr="00472F34">
      <w:rPr>
        <w:rFonts w:ascii="Arial" w:hAnsi="Arial" w:cs="Arial"/>
        <w:b/>
        <w:bCs/>
        <w:sz w:val="18"/>
        <w:szCs w:val="18"/>
        <w:lang w:val="en-GB"/>
      </w:rPr>
      <w:t>www.eeagrants.hr</w:t>
    </w:r>
  </w:p>
  <w:p w14:paraId="5713A9B5" w14:textId="7977F2CF" w:rsidR="00FC12D8" w:rsidRPr="00FC12D8" w:rsidRDefault="00FC12D8">
    <w:pPr>
      <w:pStyle w:val="Podnoje"/>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F69F" w14:textId="77777777" w:rsidR="000B6459" w:rsidRDefault="000B6459" w:rsidP="00F110A5">
      <w:pPr>
        <w:spacing w:after="0" w:line="240" w:lineRule="auto"/>
      </w:pPr>
      <w:r>
        <w:separator/>
      </w:r>
    </w:p>
  </w:footnote>
  <w:footnote w:type="continuationSeparator" w:id="0">
    <w:p w14:paraId="4FEEF660" w14:textId="77777777" w:rsidR="000B6459" w:rsidRDefault="000B6459" w:rsidP="00F11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2"/>
      <w:gridCol w:w="2409"/>
    </w:tblGrid>
    <w:tr w:rsidR="00FC12D8" w14:paraId="68A3685B" w14:textId="77777777" w:rsidTr="008C0DFA">
      <w:tc>
        <w:tcPr>
          <w:tcW w:w="2689" w:type="dxa"/>
        </w:tcPr>
        <w:p w14:paraId="725AB979" w14:textId="4D137A1F" w:rsidR="00FC12D8" w:rsidRDefault="00FC12D8" w:rsidP="00FC12D8">
          <w:r>
            <w:rPr>
              <w:noProof/>
            </w:rPr>
            <w:drawing>
              <wp:inline distT="0" distB="0" distL="0" distR="0" wp14:anchorId="5F75558A" wp14:editId="7F40E40E">
                <wp:extent cx="1080000" cy="756773"/>
                <wp:effectExtent l="0" t="0" r="6350" b="5715"/>
                <wp:docPr id="35" name="Picture 3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756773"/>
                        </a:xfrm>
                        <a:prstGeom prst="rect">
                          <a:avLst/>
                        </a:prstGeom>
                        <a:noFill/>
                        <a:ln>
                          <a:noFill/>
                        </a:ln>
                      </pic:spPr>
                    </pic:pic>
                  </a:graphicData>
                </a:graphic>
              </wp:inline>
            </w:drawing>
          </w:r>
        </w:p>
      </w:tc>
      <w:tc>
        <w:tcPr>
          <w:tcW w:w="4252" w:type="dxa"/>
        </w:tcPr>
        <w:p w14:paraId="1D8A5B95" w14:textId="169B2681" w:rsidR="00FC12D8" w:rsidRDefault="008C0DFA" w:rsidP="00FC12D8">
          <w:r w:rsidRPr="008C0DFA">
            <w:rPr>
              <w:noProof/>
            </w:rPr>
            <w:drawing>
              <wp:anchor distT="0" distB="0" distL="114300" distR="114300" simplePos="0" relativeHeight="251661312" behindDoc="0" locked="0" layoutInCell="1" allowOverlap="1" wp14:anchorId="572D4B46" wp14:editId="0BBDF687">
                <wp:simplePos x="0" y="0"/>
                <wp:positionH relativeFrom="margin">
                  <wp:posOffset>314960</wp:posOffset>
                </wp:positionH>
                <wp:positionV relativeFrom="paragraph">
                  <wp:posOffset>135626</wp:posOffset>
                </wp:positionV>
                <wp:extent cx="1932317" cy="539656"/>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39B784E-51CF-5EB2-4207-E7733E543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39B784E-51CF-5EB2-4207-E7733E543032}"/>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32317" cy="53965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9" w:type="dxa"/>
        </w:tcPr>
        <w:p w14:paraId="5FE82A16" w14:textId="38F73C2C" w:rsidR="00FC12D8" w:rsidRDefault="00D64F73" w:rsidP="00FC12D8">
          <w:r w:rsidRPr="008C0DFA">
            <w:rPr>
              <w:noProof/>
            </w:rPr>
            <w:drawing>
              <wp:anchor distT="0" distB="0" distL="114300" distR="114300" simplePos="0" relativeHeight="251662336" behindDoc="0" locked="0" layoutInCell="1" allowOverlap="1" wp14:anchorId="3A9D3C1B" wp14:editId="5AF387BC">
                <wp:simplePos x="0" y="0"/>
                <wp:positionH relativeFrom="column">
                  <wp:posOffset>207010</wp:posOffset>
                </wp:positionH>
                <wp:positionV relativeFrom="paragraph">
                  <wp:posOffset>-5080</wp:posOffset>
                </wp:positionV>
                <wp:extent cx="1180465" cy="647700"/>
                <wp:effectExtent l="0" t="0" r="635" b="0"/>
                <wp:wrapNone/>
                <wp:docPr id="12" name="Picture 11" descr="A picture containing qr code&#10;&#10;Description automatically generated">
                  <a:extLst xmlns:a="http://schemas.openxmlformats.org/drawingml/2006/main">
                    <a:ext uri="{FF2B5EF4-FFF2-40B4-BE49-F238E27FC236}">
                      <a16:creationId xmlns:a16="http://schemas.microsoft.com/office/drawing/2014/main" id="{64511053-908E-2BE0-5229-2AD3BDFEA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qr code&#10;&#10;Description automatically generated">
                          <a:extLst>
                            <a:ext uri="{FF2B5EF4-FFF2-40B4-BE49-F238E27FC236}">
                              <a16:creationId xmlns:a16="http://schemas.microsoft.com/office/drawing/2014/main" id="{64511053-908E-2BE0-5229-2AD3BDFEAC43}"/>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80465" cy="647700"/>
                        </a:xfrm>
                        <a:prstGeom prst="rect">
                          <a:avLst/>
                        </a:prstGeom>
                      </pic:spPr>
                    </pic:pic>
                  </a:graphicData>
                </a:graphic>
              </wp:anchor>
            </w:drawing>
          </w:r>
        </w:p>
      </w:tc>
    </w:tr>
    <w:tr w:rsidR="00FC12D8" w14:paraId="5808AA2D" w14:textId="77777777" w:rsidTr="008C0DFA">
      <w:tc>
        <w:tcPr>
          <w:tcW w:w="2689" w:type="dxa"/>
        </w:tcPr>
        <w:p w14:paraId="5FE74725" w14:textId="77777777" w:rsidR="00FC12D8" w:rsidRPr="00FC12D8" w:rsidRDefault="00FC12D8" w:rsidP="00FC12D8">
          <w:pPr>
            <w:rPr>
              <w:rFonts w:ascii="Arial" w:hAnsi="Arial" w:cs="Arial"/>
              <w:sz w:val="16"/>
              <w:szCs w:val="16"/>
            </w:rPr>
          </w:pPr>
        </w:p>
      </w:tc>
      <w:tc>
        <w:tcPr>
          <w:tcW w:w="4252" w:type="dxa"/>
        </w:tcPr>
        <w:p w14:paraId="46A13959" w14:textId="76B19B2E" w:rsidR="00FC12D8" w:rsidRDefault="00FC12D8" w:rsidP="00FC12D8"/>
      </w:tc>
      <w:tc>
        <w:tcPr>
          <w:tcW w:w="2409" w:type="dxa"/>
        </w:tcPr>
        <w:p w14:paraId="3221DC2E" w14:textId="77777777" w:rsidR="00FC12D8" w:rsidRDefault="00FC12D8" w:rsidP="00FC12D8"/>
      </w:tc>
    </w:tr>
  </w:tbl>
  <w:p w14:paraId="4E4B137B" w14:textId="77E2201F" w:rsidR="00FC12D8" w:rsidRDefault="00FC12D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2B"/>
    <w:rsid w:val="00017F36"/>
    <w:rsid w:val="0004282B"/>
    <w:rsid w:val="00043B3A"/>
    <w:rsid w:val="000B6459"/>
    <w:rsid w:val="000E5F19"/>
    <w:rsid w:val="00220E59"/>
    <w:rsid w:val="002C0A10"/>
    <w:rsid w:val="00403D61"/>
    <w:rsid w:val="00472F34"/>
    <w:rsid w:val="008641AF"/>
    <w:rsid w:val="008C0DFA"/>
    <w:rsid w:val="008C4BF4"/>
    <w:rsid w:val="00970914"/>
    <w:rsid w:val="00A16A09"/>
    <w:rsid w:val="00AD6B62"/>
    <w:rsid w:val="00B463F1"/>
    <w:rsid w:val="00CC1C1D"/>
    <w:rsid w:val="00D0218A"/>
    <w:rsid w:val="00D64F73"/>
    <w:rsid w:val="00E970AE"/>
    <w:rsid w:val="00F110A5"/>
    <w:rsid w:val="00F648A5"/>
    <w:rsid w:val="00FC12D8"/>
    <w:rsid w:val="00FF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F3FB6"/>
  <w15:chartTrackingRefBased/>
  <w15:docId w15:val="{B6B4F2D5-DCF6-4F02-B948-F5B7E06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61"/>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10A5"/>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110A5"/>
    <w:rPr>
      <w:lang w:val="hr-HR"/>
    </w:rPr>
  </w:style>
  <w:style w:type="paragraph" w:styleId="Podnoje">
    <w:name w:val="footer"/>
    <w:basedOn w:val="Normal"/>
    <w:link w:val="PodnojeChar"/>
    <w:uiPriority w:val="99"/>
    <w:unhideWhenUsed/>
    <w:rsid w:val="00F110A5"/>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110A5"/>
    <w:rPr>
      <w:lang w:val="hr-HR"/>
    </w:rPr>
  </w:style>
  <w:style w:type="table" w:styleId="Reetkatablice">
    <w:name w:val="Table Grid"/>
    <w:basedOn w:val="Obinatablica"/>
    <w:uiPriority w:val="39"/>
    <w:rsid w:val="00FF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03D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eagrants.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eagrants.org/" TargetMode="External"/><Relationship Id="rId4" Type="http://schemas.openxmlformats.org/officeDocument/2006/relationships/styles" Target="styles.xml"/><Relationship Id="rId9" Type="http://schemas.openxmlformats.org/officeDocument/2006/relationships/hyperlink" Target="https://eeagrants.hr/programi/energija-i-klimatske-promje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2e94307-66ee-4771-aa01-ba6c4cb6d4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BF7E98088204E8C9DAB8B8AAA5C26" ma:contentTypeVersion="11" ma:contentTypeDescription="Create a new document." ma:contentTypeScope="" ma:versionID="67235e350987780216193d9422992037">
  <xsd:schema xmlns:xsd="http://www.w3.org/2001/XMLSchema" xmlns:xs="http://www.w3.org/2001/XMLSchema" xmlns:p="http://schemas.microsoft.com/office/2006/metadata/properties" xmlns:ns2="92e94307-66ee-4771-aa01-ba6c4cb6d429" xmlns:ns3="e7897449-8e6f-4cef-be58-e81a4abd4035" targetNamespace="http://schemas.microsoft.com/office/2006/metadata/properties" ma:root="true" ma:fieldsID="d82317dda6e6edfe2c19bbe74b6a681e" ns2:_="" ns3:_="">
    <xsd:import namespace="92e94307-66ee-4771-aa01-ba6c4cb6d42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94307-66ee-4771-aa01-ba6c4cb6d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92000-1082-4D6A-BBAE-3E1CBEA7D832}">
  <ds:schemaRefs>
    <ds:schemaRef ds:uri="http://schemas.microsoft.com/office/2006/metadata/properties"/>
    <ds:schemaRef ds:uri="http://schemas.microsoft.com/office/infopath/2007/PartnerControls"/>
    <ds:schemaRef ds:uri="e7897449-8e6f-4cef-be58-e81a4abd4035"/>
    <ds:schemaRef ds:uri="92e94307-66ee-4771-aa01-ba6c4cb6d429"/>
  </ds:schemaRefs>
</ds:datastoreItem>
</file>

<file path=customXml/itemProps2.xml><?xml version="1.0" encoding="utf-8"?>
<ds:datastoreItem xmlns:ds="http://schemas.openxmlformats.org/officeDocument/2006/customXml" ds:itemID="{2FD76831-3725-4868-8FE6-4CDA60FDD008}">
  <ds:schemaRefs>
    <ds:schemaRef ds:uri="http://schemas.microsoft.com/sharepoint/v3/contenttype/forms"/>
  </ds:schemaRefs>
</ds:datastoreItem>
</file>

<file path=customXml/itemProps3.xml><?xml version="1.0" encoding="utf-8"?>
<ds:datastoreItem xmlns:ds="http://schemas.openxmlformats.org/officeDocument/2006/customXml" ds:itemID="{623C7CB4-2FE4-4965-BE2B-6745908D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94307-66ee-4771-aa01-ba6c4cb6d42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Fištrek</dc:creator>
  <cp:keywords/>
  <dc:description/>
  <cp:lastModifiedBy>Martina Fabijan</cp:lastModifiedBy>
  <cp:revision>8</cp:revision>
  <dcterms:created xsi:type="dcterms:W3CDTF">2023-09-05T09:28:00Z</dcterms:created>
  <dcterms:modified xsi:type="dcterms:W3CDTF">2023-09-05T11:02:00Z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0x010100458BF7E98088204E8C9DAB8B8AAA5C26</vt:lpwstr>
  </property>
  <property fmtid="{D5CDD505-2E9C-101B-9397-08002B2CF9AE}" pid="3" name="MediaServiceImageTags">
    <vt:lpwstr/>
  </property>
</Properties>
</file>