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C6F8A" w14:paraId="239529EA" w14:textId="77777777">
        <w:tblPrEx>
          <w:tblCellMar>
            <w:top w:w="0" w:type="dxa"/>
            <w:bottom w:w="0" w:type="dxa"/>
          </w:tblCellMar>
        </w:tblPrEx>
        <w:trPr>
          <w:tblCellSpacing w:w="60" w:type="dxa"/>
        </w:trPr>
        <w:tc>
          <w:tcPr>
            <w:tcW w:w="1200" w:type="pct"/>
            <w:shd w:val="clear" w:color="auto" w:fill="E7F0F9"/>
          </w:tcPr>
          <w:p w14:paraId="19547C9E" w14:textId="77777777" w:rsidR="009C6F8A" w:rsidRDefault="00727BBA">
            <w:pPr>
              <w:spacing w:after="0" w:line="240" w:lineRule="auto"/>
            </w:pPr>
            <w:r>
              <w:rPr>
                <w:b/>
              </w:rPr>
              <w:t>RKP broj</w:t>
            </w:r>
          </w:p>
        </w:tc>
        <w:tc>
          <w:tcPr>
            <w:tcW w:w="0" w:type="auto"/>
            <w:shd w:val="clear" w:color="auto" w:fill="E7F0F9"/>
          </w:tcPr>
          <w:p w14:paraId="593D6694" w14:textId="77777777" w:rsidR="009C6F8A" w:rsidRDefault="00727BBA">
            <w:pPr>
              <w:spacing w:after="0" w:line="240" w:lineRule="auto"/>
            </w:pPr>
            <w:r>
              <w:t>27142</w:t>
            </w:r>
          </w:p>
        </w:tc>
      </w:tr>
      <w:tr w:rsidR="009C6F8A" w14:paraId="1181A695" w14:textId="77777777">
        <w:tblPrEx>
          <w:tblCellMar>
            <w:top w:w="0" w:type="dxa"/>
            <w:bottom w:w="0" w:type="dxa"/>
          </w:tblCellMar>
        </w:tblPrEx>
        <w:trPr>
          <w:tblCellSpacing w:w="60" w:type="dxa"/>
        </w:trPr>
        <w:tc>
          <w:tcPr>
            <w:tcW w:w="1200" w:type="pct"/>
            <w:shd w:val="clear" w:color="auto" w:fill="E7F0F9"/>
          </w:tcPr>
          <w:p w14:paraId="2C75A9EF" w14:textId="77777777" w:rsidR="009C6F8A" w:rsidRDefault="00727BBA">
            <w:pPr>
              <w:spacing w:after="0" w:line="240" w:lineRule="auto"/>
            </w:pPr>
            <w:r>
              <w:rPr>
                <w:b/>
              </w:rPr>
              <w:t>Naziv obveznika</w:t>
            </w:r>
          </w:p>
        </w:tc>
        <w:tc>
          <w:tcPr>
            <w:tcW w:w="0" w:type="auto"/>
            <w:shd w:val="clear" w:color="auto" w:fill="E7F0F9"/>
          </w:tcPr>
          <w:p w14:paraId="39050AF2" w14:textId="77777777" w:rsidR="009C6F8A" w:rsidRDefault="00727BBA">
            <w:pPr>
              <w:spacing w:after="0" w:line="240" w:lineRule="auto"/>
            </w:pPr>
            <w:r>
              <w:t>GRAD SVETA NEDELJA</w:t>
            </w:r>
          </w:p>
        </w:tc>
      </w:tr>
      <w:tr w:rsidR="009C6F8A" w14:paraId="4F6E7E3D" w14:textId="77777777">
        <w:tblPrEx>
          <w:tblCellMar>
            <w:top w:w="0" w:type="dxa"/>
            <w:bottom w:w="0" w:type="dxa"/>
          </w:tblCellMar>
        </w:tblPrEx>
        <w:trPr>
          <w:tblCellSpacing w:w="60" w:type="dxa"/>
        </w:trPr>
        <w:tc>
          <w:tcPr>
            <w:tcW w:w="1200" w:type="pct"/>
            <w:shd w:val="clear" w:color="auto" w:fill="E7F0F9"/>
          </w:tcPr>
          <w:p w14:paraId="35E04C3D" w14:textId="77777777" w:rsidR="009C6F8A" w:rsidRDefault="00727BBA">
            <w:pPr>
              <w:spacing w:after="0" w:line="240" w:lineRule="auto"/>
            </w:pPr>
            <w:r>
              <w:rPr>
                <w:b/>
              </w:rPr>
              <w:t>Razina</w:t>
            </w:r>
          </w:p>
        </w:tc>
        <w:tc>
          <w:tcPr>
            <w:tcW w:w="0" w:type="auto"/>
            <w:shd w:val="clear" w:color="auto" w:fill="E7F0F9"/>
          </w:tcPr>
          <w:p w14:paraId="78D99D25" w14:textId="77777777" w:rsidR="009C6F8A" w:rsidRDefault="00727BBA">
            <w:pPr>
              <w:spacing w:after="0" w:line="240" w:lineRule="auto"/>
            </w:pPr>
            <w:r>
              <w:t>23</w:t>
            </w:r>
          </w:p>
        </w:tc>
      </w:tr>
    </w:tbl>
    <w:p w14:paraId="5CEDD648" w14:textId="77777777" w:rsidR="009C6F8A" w:rsidRDefault="00727BBA">
      <w:r>
        <w:br/>
      </w:r>
    </w:p>
    <w:p w14:paraId="2B42661E" w14:textId="77777777" w:rsidR="009C6F8A" w:rsidRDefault="00727BBA">
      <w:pPr>
        <w:spacing w:line="240" w:lineRule="auto"/>
        <w:jc w:val="center"/>
      </w:pPr>
      <w:r>
        <w:rPr>
          <w:b/>
          <w:sz w:val="28"/>
        </w:rPr>
        <w:t>BILJEŠKE UZ FINANCIJSKE IZVJEŠTAJE</w:t>
      </w:r>
    </w:p>
    <w:p w14:paraId="2D545E32" w14:textId="77777777" w:rsidR="009C6F8A" w:rsidRDefault="00727BBA">
      <w:pPr>
        <w:spacing w:line="240" w:lineRule="auto"/>
        <w:jc w:val="center"/>
      </w:pPr>
      <w:r>
        <w:rPr>
          <w:b/>
          <w:sz w:val="28"/>
        </w:rPr>
        <w:t>ZA RAZDOBLJE</w:t>
      </w:r>
    </w:p>
    <w:p w14:paraId="18AE8114" w14:textId="77777777" w:rsidR="009C6F8A" w:rsidRDefault="00727BBA">
      <w:pPr>
        <w:spacing w:line="240" w:lineRule="auto"/>
        <w:jc w:val="center"/>
      </w:pPr>
      <w:r>
        <w:rPr>
          <w:b/>
          <w:sz w:val="28"/>
        </w:rPr>
        <w:t>I - XII 2025.</w:t>
      </w:r>
    </w:p>
    <w:p w14:paraId="799A98BB" w14:textId="77777777" w:rsidR="009C6F8A" w:rsidRDefault="009C6F8A"/>
    <w:p w14:paraId="3AE22E2D" w14:textId="77777777" w:rsidR="009C6F8A" w:rsidRDefault="00727BBA">
      <w:pPr>
        <w:keepNext/>
        <w:spacing w:line="240" w:lineRule="auto"/>
        <w:jc w:val="center"/>
      </w:pPr>
      <w:r>
        <w:rPr>
          <w:b/>
          <w:sz w:val="28"/>
        </w:rPr>
        <w:t>Izvještaj o prihodima i rashodima, primicima i izdacima</w:t>
      </w:r>
    </w:p>
    <w:p w14:paraId="12125216" w14:textId="77777777" w:rsidR="009C6F8A" w:rsidRDefault="00727BB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2C647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3D262"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0AE2E0"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AE8D1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73312"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F2E95"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AB31E" w14:textId="77777777" w:rsidR="009C6F8A" w:rsidRDefault="00727BBA">
            <w:pPr>
              <w:keepNext/>
              <w:keepLines/>
              <w:spacing w:after="0" w:line="240" w:lineRule="auto"/>
              <w:jc w:val="center"/>
            </w:pPr>
            <w:r>
              <w:rPr>
                <w:b/>
                <w:sz w:val="18"/>
              </w:rPr>
              <w:t>Indeks (%)</w:t>
            </w:r>
          </w:p>
        </w:tc>
      </w:tr>
      <w:tr w:rsidR="009C6F8A" w14:paraId="18EDAC7F" w14:textId="77777777">
        <w:tblPrEx>
          <w:tblCellMar>
            <w:top w:w="0" w:type="dxa"/>
            <w:bottom w:w="0" w:type="dxa"/>
          </w:tblCellMar>
        </w:tblPrEx>
        <w:trPr>
          <w:cantSplit/>
          <w:trHeight w:val="560"/>
        </w:trPr>
        <w:tc>
          <w:tcPr>
            <w:tcW w:w="700" w:type="dxa"/>
            <w:tcMar>
              <w:top w:w="0" w:type="dxa"/>
              <w:bottom w:w="0" w:type="dxa"/>
            </w:tcMar>
            <w:vAlign w:val="center"/>
          </w:tcPr>
          <w:p w14:paraId="0BA1F1E2" w14:textId="77777777" w:rsidR="009C6F8A" w:rsidRDefault="00727BBA">
            <w:pPr>
              <w:keepNext/>
              <w:keepLines/>
              <w:spacing w:after="0" w:line="240" w:lineRule="auto"/>
            </w:pPr>
            <w:r>
              <w:rPr>
                <w:sz w:val="18"/>
              </w:rPr>
              <w:t>6</w:t>
            </w:r>
          </w:p>
        </w:tc>
        <w:tc>
          <w:tcPr>
            <w:tcW w:w="3180" w:type="dxa"/>
            <w:tcMar>
              <w:top w:w="0" w:type="dxa"/>
              <w:bottom w:w="0" w:type="dxa"/>
            </w:tcMar>
            <w:vAlign w:val="center"/>
          </w:tcPr>
          <w:p w14:paraId="5EC92B3E" w14:textId="77777777" w:rsidR="009C6F8A" w:rsidRDefault="00727BBA">
            <w:pPr>
              <w:keepNext/>
              <w:keepLines/>
              <w:spacing w:after="0" w:line="240" w:lineRule="auto"/>
            </w:pPr>
            <w:r>
              <w:rPr>
                <w:sz w:val="18"/>
              </w:rPr>
              <w:t>PRIHODI POSLOVANJA (šifre 61+62+63+64+65+66+67+68)</w:t>
            </w:r>
          </w:p>
        </w:tc>
        <w:tc>
          <w:tcPr>
            <w:tcW w:w="700" w:type="dxa"/>
            <w:tcMar>
              <w:top w:w="0" w:type="dxa"/>
              <w:bottom w:w="0" w:type="dxa"/>
            </w:tcMar>
            <w:vAlign w:val="center"/>
          </w:tcPr>
          <w:p w14:paraId="668CC693" w14:textId="77777777" w:rsidR="009C6F8A" w:rsidRDefault="00727BBA">
            <w:pPr>
              <w:keepNext/>
              <w:keepLines/>
              <w:spacing w:after="0" w:line="240" w:lineRule="auto"/>
            </w:pPr>
            <w:r>
              <w:rPr>
                <w:sz w:val="18"/>
              </w:rPr>
              <w:t>6</w:t>
            </w:r>
          </w:p>
        </w:tc>
        <w:tc>
          <w:tcPr>
            <w:tcW w:w="1860" w:type="dxa"/>
            <w:tcMar>
              <w:top w:w="0" w:type="dxa"/>
              <w:bottom w:w="0" w:type="dxa"/>
            </w:tcMar>
            <w:vAlign w:val="center"/>
          </w:tcPr>
          <w:p w14:paraId="41AAD6E2" w14:textId="77777777" w:rsidR="009C6F8A" w:rsidRDefault="00727BBA">
            <w:pPr>
              <w:keepNext/>
              <w:keepLines/>
              <w:spacing w:after="0" w:line="240" w:lineRule="auto"/>
              <w:jc w:val="right"/>
            </w:pPr>
            <w:r>
              <w:rPr>
                <w:sz w:val="18"/>
              </w:rPr>
              <w:t>20.769.627,92</w:t>
            </w:r>
          </w:p>
        </w:tc>
        <w:tc>
          <w:tcPr>
            <w:tcW w:w="1860" w:type="dxa"/>
            <w:tcMar>
              <w:top w:w="0" w:type="dxa"/>
              <w:bottom w:w="0" w:type="dxa"/>
            </w:tcMar>
            <w:vAlign w:val="center"/>
          </w:tcPr>
          <w:p w14:paraId="52028201" w14:textId="77777777" w:rsidR="009C6F8A" w:rsidRDefault="00727BBA">
            <w:pPr>
              <w:keepNext/>
              <w:keepLines/>
              <w:spacing w:after="0" w:line="240" w:lineRule="auto"/>
              <w:jc w:val="right"/>
            </w:pPr>
            <w:r>
              <w:rPr>
                <w:sz w:val="18"/>
              </w:rPr>
              <w:t>26.942.335,84</w:t>
            </w:r>
          </w:p>
        </w:tc>
        <w:tc>
          <w:tcPr>
            <w:tcW w:w="700" w:type="dxa"/>
            <w:tcMar>
              <w:top w:w="0" w:type="dxa"/>
              <w:bottom w:w="0" w:type="dxa"/>
            </w:tcMar>
            <w:vAlign w:val="center"/>
          </w:tcPr>
          <w:p w14:paraId="45423B67" w14:textId="77777777" w:rsidR="009C6F8A" w:rsidRDefault="00727BBA">
            <w:pPr>
              <w:keepNext/>
              <w:keepLines/>
              <w:spacing w:after="0" w:line="240" w:lineRule="auto"/>
              <w:jc w:val="right"/>
            </w:pPr>
            <w:r>
              <w:rPr>
                <w:sz w:val="18"/>
              </w:rPr>
              <w:t>129,7</w:t>
            </w:r>
          </w:p>
        </w:tc>
      </w:tr>
      <w:tr w:rsidR="009C6F8A" w14:paraId="483C6FAC" w14:textId="77777777">
        <w:tblPrEx>
          <w:tblCellMar>
            <w:top w:w="0" w:type="dxa"/>
            <w:bottom w:w="0" w:type="dxa"/>
          </w:tblCellMar>
        </w:tblPrEx>
        <w:trPr>
          <w:cantSplit/>
          <w:trHeight w:val="560"/>
        </w:trPr>
        <w:tc>
          <w:tcPr>
            <w:tcW w:w="700" w:type="dxa"/>
            <w:tcMar>
              <w:top w:w="0" w:type="dxa"/>
              <w:bottom w:w="0" w:type="dxa"/>
            </w:tcMar>
            <w:vAlign w:val="center"/>
          </w:tcPr>
          <w:p w14:paraId="70FF41F3" w14:textId="77777777" w:rsidR="009C6F8A" w:rsidRDefault="00727BBA">
            <w:pPr>
              <w:keepNext/>
              <w:keepLines/>
              <w:spacing w:after="0" w:line="240" w:lineRule="auto"/>
            </w:pPr>
            <w:r>
              <w:rPr>
                <w:sz w:val="18"/>
              </w:rPr>
              <w:t>3</w:t>
            </w:r>
          </w:p>
        </w:tc>
        <w:tc>
          <w:tcPr>
            <w:tcW w:w="3180" w:type="dxa"/>
            <w:tcMar>
              <w:top w:w="0" w:type="dxa"/>
              <w:bottom w:w="0" w:type="dxa"/>
            </w:tcMar>
            <w:vAlign w:val="center"/>
          </w:tcPr>
          <w:p w14:paraId="0B9201DD" w14:textId="77777777" w:rsidR="009C6F8A" w:rsidRDefault="00727BBA">
            <w:pPr>
              <w:keepNext/>
              <w:keepLines/>
              <w:spacing w:after="0" w:line="240" w:lineRule="auto"/>
            </w:pPr>
            <w:r>
              <w:rPr>
                <w:sz w:val="18"/>
              </w:rPr>
              <w:t>RASHODI POSLOVANJA (šifre 31+32+34+35+36+37+38)</w:t>
            </w:r>
          </w:p>
        </w:tc>
        <w:tc>
          <w:tcPr>
            <w:tcW w:w="700" w:type="dxa"/>
            <w:tcMar>
              <w:top w:w="0" w:type="dxa"/>
              <w:bottom w:w="0" w:type="dxa"/>
            </w:tcMar>
            <w:vAlign w:val="center"/>
          </w:tcPr>
          <w:p w14:paraId="7B5E350D" w14:textId="77777777" w:rsidR="009C6F8A" w:rsidRDefault="00727BBA">
            <w:pPr>
              <w:keepNext/>
              <w:keepLines/>
              <w:spacing w:after="0" w:line="240" w:lineRule="auto"/>
            </w:pPr>
            <w:r>
              <w:rPr>
                <w:sz w:val="18"/>
              </w:rPr>
              <w:t>3</w:t>
            </w:r>
          </w:p>
        </w:tc>
        <w:tc>
          <w:tcPr>
            <w:tcW w:w="1860" w:type="dxa"/>
            <w:tcMar>
              <w:top w:w="0" w:type="dxa"/>
              <w:bottom w:w="0" w:type="dxa"/>
            </w:tcMar>
            <w:vAlign w:val="center"/>
          </w:tcPr>
          <w:p w14:paraId="682635A5" w14:textId="77777777" w:rsidR="009C6F8A" w:rsidRDefault="00727BBA">
            <w:pPr>
              <w:keepNext/>
              <w:keepLines/>
              <w:spacing w:after="0" w:line="240" w:lineRule="auto"/>
              <w:jc w:val="right"/>
            </w:pPr>
            <w:r>
              <w:rPr>
                <w:sz w:val="18"/>
              </w:rPr>
              <w:t>15.566.538,97</w:t>
            </w:r>
          </w:p>
        </w:tc>
        <w:tc>
          <w:tcPr>
            <w:tcW w:w="1860" w:type="dxa"/>
            <w:tcMar>
              <w:top w:w="0" w:type="dxa"/>
              <w:bottom w:w="0" w:type="dxa"/>
            </w:tcMar>
            <w:vAlign w:val="center"/>
          </w:tcPr>
          <w:p w14:paraId="1CE4F9F3" w14:textId="77777777" w:rsidR="009C6F8A" w:rsidRDefault="00727BBA">
            <w:pPr>
              <w:keepNext/>
              <w:keepLines/>
              <w:spacing w:after="0" w:line="240" w:lineRule="auto"/>
              <w:jc w:val="right"/>
            </w:pPr>
            <w:r>
              <w:rPr>
                <w:sz w:val="18"/>
              </w:rPr>
              <w:t>19.838.033,74</w:t>
            </w:r>
          </w:p>
        </w:tc>
        <w:tc>
          <w:tcPr>
            <w:tcW w:w="700" w:type="dxa"/>
            <w:tcMar>
              <w:top w:w="0" w:type="dxa"/>
              <w:bottom w:w="0" w:type="dxa"/>
            </w:tcMar>
            <w:vAlign w:val="center"/>
          </w:tcPr>
          <w:p w14:paraId="17558E2F" w14:textId="77777777" w:rsidR="009C6F8A" w:rsidRDefault="00727BBA">
            <w:pPr>
              <w:keepNext/>
              <w:keepLines/>
              <w:spacing w:after="0" w:line="240" w:lineRule="auto"/>
              <w:jc w:val="right"/>
            </w:pPr>
            <w:r>
              <w:rPr>
                <w:sz w:val="18"/>
              </w:rPr>
              <w:t>127,4</w:t>
            </w:r>
          </w:p>
        </w:tc>
      </w:tr>
      <w:tr w:rsidR="009C6F8A" w14:paraId="64A52622" w14:textId="77777777">
        <w:tblPrEx>
          <w:tblCellMar>
            <w:top w:w="0" w:type="dxa"/>
            <w:bottom w:w="0" w:type="dxa"/>
          </w:tblCellMar>
        </w:tblPrEx>
        <w:trPr>
          <w:cantSplit/>
          <w:trHeight w:val="560"/>
        </w:trPr>
        <w:tc>
          <w:tcPr>
            <w:tcW w:w="700" w:type="dxa"/>
            <w:tcMar>
              <w:top w:w="0" w:type="dxa"/>
              <w:bottom w:w="0" w:type="dxa"/>
            </w:tcMar>
            <w:vAlign w:val="center"/>
          </w:tcPr>
          <w:p w14:paraId="51950814" w14:textId="77777777" w:rsidR="009C6F8A" w:rsidRDefault="009C6F8A">
            <w:pPr>
              <w:keepNext/>
              <w:keepLines/>
              <w:spacing w:after="0" w:line="240" w:lineRule="auto"/>
            </w:pPr>
          </w:p>
        </w:tc>
        <w:tc>
          <w:tcPr>
            <w:tcW w:w="3180" w:type="dxa"/>
            <w:tcMar>
              <w:top w:w="0" w:type="dxa"/>
              <w:bottom w:w="0" w:type="dxa"/>
            </w:tcMar>
            <w:vAlign w:val="center"/>
          </w:tcPr>
          <w:p w14:paraId="5D63C500" w14:textId="77777777" w:rsidR="009C6F8A" w:rsidRDefault="00727BBA">
            <w:pPr>
              <w:keepNext/>
              <w:keepLines/>
              <w:spacing w:after="0" w:line="240" w:lineRule="auto"/>
            </w:pPr>
            <w:r>
              <w:rPr>
                <w:b/>
                <w:sz w:val="18"/>
              </w:rPr>
              <w:t>VIŠAK PRIHODA POSLOVANJA (šifre 6-Z005)</w:t>
            </w:r>
          </w:p>
        </w:tc>
        <w:tc>
          <w:tcPr>
            <w:tcW w:w="700" w:type="dxa"/>
            <w:tcMar>
              <w:top w:w="0" w:type="dxa"/>
              <w:bottom w:w="0" w:type="dxa"/>
            </w:tcMar>
            <w:vAlign w:val="center"/>
          </w:tcPr>
          <w:p w14:paraId="578973C1" w14:textId="77777777" w:rsidR="009C6F8A" w:rsidRDefault="00727BBA">
            <w:pPr>
              <w:keepNext/>
              <w:keepLines/>
              <w:spacing w:after="0" w:line="240" w:lineRule="auto"/>
            </w:pPr>
            <w:r>
              <w:rPr>
                <w:b/>
                <w:sz w:val="18"/>
              </w:rPr>
              <w:t>X001</w:t>
            </w:r>
          </w:p>
        </w:tc>
        <w:tc>
          <w:tcPr>
            <w:tcW w:w="1860" w:type="dxa"/>
            <w:tcMar>
              <w:top w:w="0" w:type="dxa"/>
              <w:bottom w:w="0" w:type="dxa"/>
            </w:tcMar>
            <w:vAlign w:val="center"/>
          </w:tcPr>
          <w:p w14:paraId="4F2A9C63" w14:textId="77777777" w:rsidR="009C6F8A" w:rsidRDefault="00727BBA">
            <w:pPr>
              <w:keepNext/>
              <w:keepLines/>
              <w:spacing w:after="0" w:line="240" w:lineRule="auto"/>
              <w:jc w:val="right"/>
            </w:pPr>
            <w:r>
              <w:rPr>
                <w:b/>
                <w:sz w:val="18"/>
              </w:rPr>
              <w:t>5.203.088,95</w:t>
            </w:r>
          </w:p>
        </w:tc>
        <w:tc>
          <w:tcPr>
            <w:tcW w:w="1860" w:type="dxa"/>
            <w:tcMar>
              <w:top w:w="0" w:type="dxa"/>
              <w:bottom w:w="0" w:type="dxa"/>
            </w:tcMar>
            <w:vAlign w:val="center"/>
          </w:tcPr>
          <w:p w14:paraId="30BE63AC" w14:textId="77777777" w:rsidR="009C6F8A" w:rsidRDefault="00727BBA">
            <w:pPr>
              <w:keepNext/>
              <w:keepLines/>
              <w:spacing w:after="0" w:line="240" w:lineRule="auto"/>
              <w:jc w:val="right"/>
            </w:pPr>
            <w:r>
              <w:rPr>
                <w:b/>
                <w:sz w:val="18"/>
              </w:rPr>
              <w:t>7.104.302,10</w:t>
            </w:r>
          </w:p>
        </w:tc>
        <w:tc>
          <w:tcPr>
            <w:tcW w:w="700" w:type="dxa"/>
            <w:tcMar>
              <w:top w:w="0" w:type="dxa"/>
              <w:bottom w:w="0" w:type="dxa"/>
            </w:tcMar>
            <w:vAlign w:val="center"/>
          </w:tcPr>
          <w:p w14:paraId="130291EE" w14:textId="77777777" w:rsidR="009C6F8A" w:rsidRDefault="00727BBA">
            <w:pPr>
              <w:keepNext/>
              <w:keepLines/>
              <w:spacing w:after="0" w:line="240" w:lineRule="auto"/>
              <w:jc w:val="right"/>
            </w:pPr>
            <w:r>
              <w:rPr>
                <w:b/>
                <w:sz w:val="18"/>
              </w:rPr>
              <w:t>136,5</w:t>
            </w:r>
          </w:p>
        </w:tc>
      </w:tr>
      <w:tr w:rsidR="009C6F8A" w14:paraId="6466661F" w14:textId="77777777">
        <w:tblPrEx>
          <w:tblCellMar>
            <w:top w:w="0" w:type="dxa"/>
            <w:bottom w:w="0" w:type="dxa"/>
          </w:tblCellMar>
        </w:tblPrEx>
        <w:trPr>
          <w:cantSplit/>
          <w:trHeight w:val="560"/>
        </w:trPr>
        <w:tc>
          <w:tcPr>
            <w:tcW w:w="700" w:type="dxa"/>
            <w:tcMar>
              <w:top w:w="0" w:type="dxa"/>
              <w:bottom w:w="0" w:type="dxa"/>
            </w:tcMar>
            <w:vAlign w:val="center"/>
          </w:tcPr>
          <w:p w14:paraId="2EB4DBEA" w14:textId="77777777" w:rsidR="009C6F8A" w:rsidRDefault="00727BBA">
            <w:pPr>
              <w:keepNext/>
              <w:keepLines/>
              <w:spacing w:after="0" w:line="240" w:lineRule="auto"/>
            </w:pPr>
            <w:r>
              <w:rPr>
                <w:sz w:val="18"/>
              </w:rPr>
              <w:t>7</w:t>
            </w:r>
          </w:p>
        </w:tc>
        <w:tc>
          <w:tcPr>
            <w:tcW w:w="3180" w:type="dxa"/>
            <w:tcMar>
              <w:top w:w="0" w:type="dxa"/>
              <w:bottom w:w="0" w:type="dxa"/>
            </w:tcMar>
            <w:vAlign w:val="center"/>
          </w:tcPr>
          <w:p w14:paraId="6B65799F" w14:textId="77777777" w:rsidR="009C6F8A" w:rsidRDefault="00727BB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F7ABE5" w14:textId="77777777" w:rsidR="009C6F8A" w:rsidRDefault="00727BBA">
            <w:pPr>
              <w:keepNext/>
              <w:keepLines/>
              <w:spacing w:after="0" w:line="240" w:lineRule="auto"/>
            </w:pPr>
            <w:r>
              <w:rPr>
                <w:sz w:val="18"/>
              </w:rPr>
              <w:t>7</w:t>
            </w:r>
          </w:p>
        </w:tc>
        <w:tc>
          <w:tcPr>
            <w:tcW w:w="1860" w:type="dxa"/>
            <w:tcMar>
              <w:top w:w="0" w:type="dxa"/>
              <w:bottom w:w="0" w:type="dxa"/>
            </w:tcMar>
            <w:vAlign w:val="center"/>
          </w:tcPr>
          <w:p w14:paraId="6E8A2FA7" w14:textId="77777777" w:rsidR="009C6F8A" w:rsidRDefault="00727BBA">
            <w:pPr>
              <w:keepNext/>
              <w:keepLines/>
              <w:spacing w:after="0" w:line="240" w:lineRule="auto"/>
              <w:jc w:val="right"/>
            </w:pPr>
            <w:r>
              <w:rPr>
                <w:sz w:val="18"/>
              </w:rPr>
              <w:t>1.200,00</w:t>
            </w:r>
          </w:p>
        </w:tc>
        <w:tc>
          <w:tcPr>
            <w:tcW w:w="1860" w:type="dxa"/>
            <w:tcMar>
              <w:top w:w="0" w:type="dxa"/>
              <w:bottom w:w="0" w:type="dxa"/>
            </w:tcMar>
            <w:vAlign w:val="center"/>
          </w:tcPr>
          <w:p w14:paraId="4653141A" w14:textId="77777777" w:rsidR="009C6F8A" w:rsidRDefault="00727BBA">
            <w:pPr>
              <w:keepNext/>
              <w:keepLines/>
              <w:spacing w:after="0" w:line="240" w:lineRule="auto"/>
              <w:jc w:val="right"/>
            </w:pPr>
            <w:r>
              <w:rPr>
                <w:sz w:val="18"/>
              </w:rPr>
              <w:t>13.005.645,00</w:t>
            </w:r>
          </w:p>
        </w:tc>
        <w:tc>
          <w:tcPr>
            <w:tcW w:w="700" w:type="dxa"/>
            <w:tcMar>
              <w:top w:w="0" w:type="dxa"/>
              <w:bottom w:w="0" w:type="dxa"/>
            </w:tcMar>
            <w:vAlign w:val="center"/>
          </w:tcPr>
          <w:p w14:paraId="7C36FBCA" w14:textId="77777777" w:rsidR="009C6F8A" w:rsidRDefault="00727BBA">
            <w:pPr>
              <w:keepNext/>
              <w:keepLines/>
              <w:spacing w:after="0" w:line="240" w:lineRule="auto"/>
              <w:jc w:val="right"/>
            </w:pPr>
            <w:r>
              <w:rPr>
                <w:sz w:val="18"/>
              </w:rPr>
              <w:t>&gt;&gt;100</w:t>
            </w:r>
          </w:p>
        </w:tc>
      </w:tr>
      <w:tr w:rsidR="009C6F8A" w14:paraId="64AA29DC" w14:textId="77777777">
        <w:tblPrEx>
          <w:tblCellMar>
            <w:top w:w="0" w:type="dxa"/>
            <w:bottom w:w="0" w:type="dxa"/>
          </w:tblCellMar>
        </w:tblPrEx>
        <w:trPr>
          <w:cantSplit/>
          <w:trHeight w:val="560"/>
        </w:trPr>
        <w:tc>
          <w:tcPr>
            <w:tcW w:w="700" w:type="dxa"/>
            <w:tcMar>
              <w:top w:w="0" w:type="dxa"/>
              <w:bottom w:w="0" w:type="dxa"/>
            </w:tcMar>
            <w:vAlign w:val="center"/>
          </w:tcPr>
          <w:p w14:paraId="4768A946" w14:textId="77777777" w:rsidR="009C6F8A" w:rsidRDefault="00727BBA">
            <w:pPr>
              <w:keepNext/>
              <w:keepLines/>
              <w:spacing w:after="0" w:line="240" w:lineRule="auto"/>
            </w:pPr>
            <w:r>
              <w:rPr>
                <w:sz w:val="18"/>
              </w:rPr>
              <w:t>4</w:t>
            </w:r>
          </w:p>
        </w:tc>
        <w:tc>
          <w:tcPr>
            <w:tcW w:w="3180" w:type="dxa"/>
            <w:tcMar>
              <w:top w:w="0" w:type="dxa"/>
              <w:bottom w:w="0" w:type="dxa"/>
            </w:tcMar>
            <w:vAlign w:val="center"/>
          </w:tcPr>
          <w:p w14:paraId="1532BF7E" w14:textId="77777777" w:rsidR="009C6F8A" w:rsidRDefault="00727BB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6E90F2D" w14:textId="77777777" w:rsidR="009C6F8A" w:rsidRDefault="00727BBA">
            <w:pPr>
              <w:keepNext/>
              <w:keepLines/>
              <w:spacing w:after="0" w:line="240" w:lineRule="auto"/>
            </w:pPr>
            <w:r>
              <w:rPr>
                <w:sz w:val="18"/>
              </w:rPr>
              <w:t>4</w:t>
            </w:r>
          </w:p>
        </w:tc>
        <w:tc>
          <w:tcPr>
            <w:tcW w:w="1860" w:type="dxa"/>
            <w:tcMar>
              <w:top w:w="0" w:type="dxa"/>
              <w:bottom w:w="0" w:type="dxa"/>
            </w:tcMar>
            <w:vAlign w:val="center"/>
          </w:tcPr>
          <w:p w14:paraId="45F81959" w14:textId="77777777" w:rsidR="009C6F8A" w:rsidRDefault="00727BBA">
            <w:pPr>
              <w:keepNext/>
              <w:keepLines/>
              <w:spacing w:after="0" w:line="240" w:lineRule="auto"/>
              <w:jc w:val="right"/>
            </w:pPr>
            <w:r>
              <w:rPr>
                <w:sz w:val="18"/>
              </w:rPr>
              <w:t>8.380.538,90</w:t>
            </w:r>
          </w:p>
        </w:tc>
        <w:tc>
          <w:tcPr>
            <w:tcW w:w="1860" w:type="dxa"/>
            <w:tcMar>
              <w:top w:w="0" w:type="dxa"/>
              <w:bottom w:w="0" w:type="dxa"/>
            </w:tcMar>
            <w:vAlign w:val="center"/>
          </w:tcPr>
          <w:p w14:paraId="59F149AA" w14:textId="77777777" w:rsidR="009C6F8A" w:rsidRDefault="00727BBA">
            <w:pPr>
              <w:keepNext/>
              <w:keepLines/>
              <w:spacing w:after="0" w:line="240" w:lineRule="auto"/>
              <w:jc w:val="right"/>
            </w:pPr>
            <w:r>
              <w:rPr>
                <w:sz w:val="18"/>
              </w:rPr>
              <w:t>16.297.277,98</w:t>
            </w:r>
          </w:p>
        </w:tc>
        <w:tc>
          <w:tcPr>
            <w:tcW w:w="700" w:type="dxa"/>
            <w:tcMar>
              <w:top w:w="0" w:type="dxa"/>
              <w:bottom w:w="0" w:type="dxa"/>
            </w:tcMar>
            <w:vAlign w:val="center"/>
          </w:tcPr>
          <w:p w14:paraId="18A3F2E6" w14:textId="77777777" w:rsidR="009C6F8A" w:rsidRDefault="00727BBA">
            <w:pPr>
              <w:keepNext/>
              <w:keepLines/>
              <w:spacing w:after="0" w:line="240" w:lineRule="auto"/>
              <w:jc w:val="right"/>
            </w:pPr>
            <w:r>
              <w:rPr>
                <w:sz w:val="18"/>
              </w:rPr>
              <w:t>194,5</w:t>
            </w:r>
          </w:p>
        </w:tc>
      </w:tr>
      <w:tr w:rsidR="009C6F8A" w14:paraId="4A94D2D6" w14:textId="77777777">
        <w:tblPrEx>
          <w:tblCellMar>
            <w:top w:w="0" w:type="dxa"/>
            <w:bottom w:w="0" w:type="dxa"/>
          </w:tblCellMar>
        </w:tblPrEx>
        <w:trPr>
          <w:cantSplit/>
          <w:trHeight w:val="560"/>
        </w:trPr>
        <w:tc>
          <w:tcPr>
            <w:tcW w:w="700" w:type="dxa"/>
            <w:tcMar>
              <w:top w:w="0" w:type="dxa"/>
              <w:bottom w:w="0" w:type="dxa"/>
            </w:tcMar>
            <w:vAlign w:val="center"/>
          </w:tcPr>
          <w:p w14:paraId="6F14C19F" w14:textId="77777777" w:rsidR="009C6F8A" w:rsidRDefault="009C6F8A">
            <w:pPr>
              <w:keepNext/>
              <w:keepLines/>
              <w:spacing w:after="0" w:line="240" w:lineRule="auto"/>
            </w:pPr>
          </w:p>
        </w:tc>
        <w:tc>
          <w:tcPr>
            <w:tcW w:w="3180" w:type="dxa"/>
            <w:tcMar>
              <w:top w:w="0" w:type="dxa"/>
              <w:bottom w:w="0" w:type="dxa"/>
            </w:tcMar>
            <w:vAlign w:val="center"/>
          </w:tcPr>
          <w:p w14:paraId="0A54F5C3" w14:textId="77777777" w:rsidR="009C6F8A" w:rsidRDefault="00727BB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864FD32" w14:textId="77777777" w:rsidR="009C6F8A" w:rsidRDefault="00727BBA">
            <w:pPr>
              <w:keepNext/>
              <w:keepLines/>
              <w:spacing w:after="0" w:line="240" w:lineRule="auto"/>
            </w:pPr>
            <w:r>
              <w:rPr>
                <w:b/>
                <w:sz w:val="18"/>
              </w:rPr>
              <w:t>Y002</w:t>
            </w:r>
          </w:p>
        </w:tc>
        <w:tc>
          <w:tcPr>
            <w:tcW w:w="1860" w:type="dxa"/>
            <w:tcMar>
              <w:top w:w="0" w:type="dxa"/>
              <w:bottom w:w="0" w:type="dxa"/>
            </w:tcMar>
            <w:vAlign w:val="center"/>
          </w:tcPr>
          <w:p w14:paraId="555272AE" w14:textId="77777777" w:rsidR="009C6F8A" w:rsidRDefault="00727BBA">
            <w:pPr>
              <w:keepNext/>
              <w:keepLines/>
              <w:spacing w:after="0" w:line="240" w:lineRule="auto"/>
              <w:jc w:val="right"/>
            </w:pPr>
            <w:r>
              <w:rPr>
                <w:b/>
                <w:sz w:val="18"/>
              </w:rPr>
              <w:t>8.379.338,90</w:t>
            </w:r>
          </w:p>
        </w:tc>
        <w:tc>
          <w:tcPr>
            <w:tcW w:w="1860" w:type="dxa"/>
            <w:tcMar>
              <w:top w:w="0" w:type="dxa"/>
              <w:bottom w:w="0" w:type="dxa"/>
            </w:tcMar>
            <w:vAlign w:val="center"/>
          </w:tcPr>
          <w:p w14:paraId="57065F71" w14:textId="77777777" w:rsidR="009C6F8A" w:rsidRDefault="00727BBA">
            <w:pPr>
              <w:keepNext/>
              <w:keepLines/>
              <w:spacing w:after="0" w:line="240" w:lineRule="auto"/>
              <w:jc w:val="right"/>
            </w:pPr>
            <w:r>
              <w:rPr>
                <w:b/>
                <w:sz w:val="18"/>
              </w:rPr>
              <w:t>3.291.632,98</w:t>
            </w:r>
          </w:p>
        </w:tc>
        <w:tc>
          <w:tcPr>
            <w:tcW w:w="700" w:type="dxa"/>
            <w:tcMar>
              <w:top w:w="0" w:type="dxa"/>
              <w:bottom w:w="0" w:type="dxa"/>
            </w:tcMar>
            <w:vAlign w:val="center"/>
          </w:tcPr>
          <w:p w14:paraId="2A8850E9" w14:textId="77777777" w:rsidR="009C6F8A" w:rsidRDefault="00727BBA">
            <w:pPr>
              <w:keepNext/>
              <w:keepLines/>
              <w:spacing w:after="0" w:line="240" w:lineRule="auto"/>
              <w:jc w:val="right"/>
            </w:pPr>
            <w:r>
              <w:rPr>
                <w:b/>
                <w:sz w:val="18"/>
              </w:rPr>
              <w:t>39,3</w:t>
            </w:r>
          </w:p>
        </w:tc>
      </w:tr>
      <w:tr w:rsidR="009C6F8A" w14:paraId="0C5F0346" w14:textId="77777777">
        <w:tblPrEx>
          <w:tblCellMar>
            <w:top w:w="0" w:type="dxa"/>
            <w:bottom w:w="0" w:type="dxa"/>
          </w:tblCellMar>
        </w:tblPrEx>
        <w:trPr>
          <w:cantSplit/>
          <w:trHeight w:val="560"/>
        </w:trPr>
        <w:tc>
          <w:tcPr>
            <w:tcW w:w="700" w:type="dxa"/>
            <w:tcMar>
              <w:top w:w="0" w:type="dxa"/>
              <w:bottom w:w="0" w:type="dxa"/>
            </w:tcMar>
            <w:vAlign w:val="center"/>
          </w:tcPr>
          <w:p w14:paraId="4A692D90" w14:textId="77777777" w:rsidR="009C6F8A" w:rsidRDefault="00727BBA">
            <w:pPr>
              <w:keepNext/>
              <w:keepLines/>
              <w:spacing w:after="0" w:line="240" w:lineRule="auto"/>
            </w:pPr>
            <w:r>
              <w:rPr>
                <w:sz w:val="18"/>
              </w:rPr>
              <w:t>8</w:t>
            </w:r>
          </w:p>
        </w:tc>
        <w:tc>
          <w:tcPr>
            <w:tcW w:w="3180" w:type="dxa"/>
            <w:tcMar>
              <w:top w:w="0" w:type="dxa"/>
              <w:bottom w:w="0" w:type="dxa"/>
            </w:tcMar>
            <w:vAlign w:val="center"/>
          </w:tcPr>
          <w:p w14:paraId="4005D4A4" w14:textId="77777777" w:rsidR="009C6F8A" w:rsidRDefault="00727BB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ABB5D90" w14:textId="77777777" w:rsidR="009C6F8A" w:rsidRDefault="00727BBA">
            <w:pPr>
              <w:keepNext/>
              <w:keepLines/>
              <w:spacing w:after="0" w:line="240" w:lineRule="auto"/>
            </w:pPr>
            <w:r>
              <w:rPr>
                <w:sz w:val="18"/>
              </w:rPr>
              <w:t>8</w:t>
            </w:r>
          </w:p>
        </w:tc>
        <w:tc>
          <w:tcPr>
            <w:tcW w:w="1860" w:type="dxa"/>
            <w:tcMar>
              <w:top w:w="0" w:type="dxa"/>
              <w:bottom w:w="0" w:type="dxa"/>
            </w:tcMar>
            <w:vAlign w:val="center"/>
          </w:tcPr>
          <w:p w14:paraId="410129D1" w14:textId="77777777" w:rsidR="009C6F8A" w:rsidRDefault="00727BBA">
            <w:pPr>
              <w:keepNext/>
              <w:keepLines/>
              <w:spacing w:after="0" w:line="240" w:lineRule="auto"/>
              <w:jc w:val="right"/>
            </w:pPr>
            <w:r>
              <w:rPr>
                <w:sz w:val="18"/>
              </w:rPr>
              <w:t>231.727,43</w:t>
            </w:r>
          </w:p>
        </w:tc>
        <w:tc>
          <w:tcPr>
            <w:tcW w:w="1860" w:type="dxa"/>
            <w:tcMar>
              <w:top w:w="0" w:type="dxa"/>
              <w:bottom w:w="0" w:type="dxa"/>
            </w:tcMar>
            <w:vAlign w:val="center"/>
          </w:tcPr>
          <w:p w14:paraId="64ADFBDC" w14:textId="77777777" w:rsidR="009C6F8A" w:rsidRDefault="00727BBA">
            <w:pPr>
              <w:keepNext/>
              <w:keepLines/>
              <w:spacing w:after="0" w:line="240" w:lineRule="auto"/>
              <w:jc w:val="right"/>
            </w:pPr>
            <w:r>
              <w:rPr>
                <w:sz w:val="18"/>
              </w:rPr>
              <w:t>4.002.970,84</w:t>
            </w:r>
          </w:p>
        </w:tc>
        <w:tc>
          <w:tcPr>
            <w:tcW w:w="700" w:type="dxa"/>
            <w:tcMar>
              <w:top w:w="0" w:type="dxa"/>
              <w:bottom w:w="0" w:type="dxa"/>
            </w:tcMar>
            <w:vAlign w:val="center"/>
          </w:tcPr>
          <w:p w14:paraId="01A404F6" w14:textId="77777777" w:rsidR="009C6F8A" w:rsidRDefault="00727BBA">
            <w:pPr>
              <w:keepNext/>
              <w:keepLines/>
              <w:spacing w:after="0" w:line="240" w:lineRule="auto"/>
              <w:jc w:val="right"/>
            </w:pPr>
            <w:r>
              <w:rPr>
                <w:sz w:val="18"/>
              </w:rPr>
              <w:t>1727,4</w:t>
            </w:r>
          </w:p>
        </w:tc>
      </w:tr>
      <w:tr w:rsidR="009C6F8A" w14:paraId="3A34A22F" w14:textId="77777777">
        <w:tblPrEx>
          <w:tblCellMar>
            <w:top w:w="0" w:type="dxa"/>
            <w:bottom w:w="0" w:type="dxa"/>
          </w:tblCellMar>
        </w:tblPrEx>
        <w:trPr>
          <w:cantSplit/>
          <w:trHeight w:val="560"/>
        </w:trPr>
        <w:tc>
          <w:tcPr>
            <w:tcW w:w="700" w:type="dxa"/>
            <w:tcMar>
              <w:top w:w="0" w:type="dxa"/>
              <w:bottom w:w="0" w:type="dxa"/>
            </w:tcMar>
            <w:vAlign w:val="center"/>
          </w:tcPr>
          <w:p w14:paraId="340D46DC" w14:textId="77777777" w:rsidR="009C6F8A" w:rsidRDefault="00727BBA">
            <w:pPr>
              <w:keepNext/>
              <w:keepLines/>
              <w:spacing w:after="0" w:line="240" w:lineRule="auto"/>
            </w:pPr>
            <w:r>
              <w:rPr>
                <w:sz w:val="18"/>
              </w:rPr>
              <w:t>5</w:t>
            </w:r>
          </w:p>
        </w:tc>
        <w:tc>
          <w:tcPr>
            <w:tcW w:w="3180" w:type="dxa"/>
            <w:tcMar>
              <w:top w:w="0" w:type="dxa"/>
              <w:bottom w:w="0" w:type="dxa"/>
            </w:tcMar>
            <w:vAlign w:val="center"/>
          </w:tcPr>
          <w:p w14:paraId="7C642E43" w14:textId="77777777" w:rsidR="009C6F8A" w:rsidRDefault="00727BB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A4FBBB6" w14:textId="77777777" w:rsidR="009C6F8A" w:rsidRDefault="00727BBA">
            <w:pPr>
              <w:keepNext/>
              <w:keepLines/>
              <w:spacing w:after="0" w:line="240" w:lineRule="auto"/>
            </w:pPr>
            <w:r>
              <w:rPr>
                <w:sz w:val="18"/>
              </w:rPr>
              <w:t>5</w:t>
            </w:r>
          </w:p>
        </w:tc>
        <w:tc>
          <w:tcPr>
            <w:tcW w:w="1860" w:type="dxa"/>
            <w:tcMar>
              <w:top w:w="0" w:type="dxa"/>
              <w:bottom w:w="0" w:type="dxa"/>
            </w:tcMar>
            <w:vAlign w:val="center"/>
          </w:tcPr>
          <w:p w14:paraId="4FE0FE9F" w14:textId="77777777" w:rsidR="009C6F8A" w:rsidRDefault="00727BBA">
            <w:pPr>
              <w:keepNext/>
              <w:keepLines/>
              <w:spacing w:after="0" w:line="240" w:lineRule="auto"/>
              <w:jc w:val="right"/>
            </w:pPr>
            <w:r>
              <w:rPr>
                <w:sz w:val="18"/>
              </w:rPr>
              <w:t>398.168,44</w:t>
            </w:r>
          </w:p>
        </w:tc>
        <w:tc>
          <w:tcPr>
            <w:tcW w:w="1860" w:type="dxa"/>
            <w:tcMar>
              <w:top w:w="0" w:type="dxa"/>
              <w:bottom w:w="0" w:type="dxa"/>
            </w:tcMar>
            <w:vAlign w:val="center"/>
          </w:tcPr>
          <w:p w14:paraId="0594FADF" w14:textId="77777777" w:rsidR="009C6F8A" w:rsidRDefault="00727BBA">
            <w:pPr>
              <w:keepNext/>
              <w:keepLines/>
              <w:spacing w:after="0" w:line="240" w:lineRule="auto"/>
              <w:jc w:val="right"/>
            </w:pPr>
            <w:r>
              <w:rPr>
                <w:sz w:val="18"/>
              </w:rPr>
              <w:t>398.168,44</w:t>
            </w:r>
          </w:p>
        </w:tc>
        <w:tc>
          <w:tcPr>
            <w:tcW w:w="700" w:type="dxa"/>
            <w:tcMar>
              <w:top w:w="0" w:type="dxa"/>
              <w:bottom w:w="0" w:type="dxa"/>
            </w:tcMar>
            <w:vAlign w:val="center"/>
          </w:tcPr>
          <w:p w14:paraId="3F690013" w14:textId="77777777" w:rsidR="009C6F8A" w:rsidRDefault="00727BBA">
            <w:pPr>
              <w:keepNext/>
              <w:keepLines/>
              <w:spacing w:after="0" w:line="240" w:lineRule="auto"/>
              <w:jc w:val="right"/>
            </w:pPr>
            <w:r>
              <w:rPr>
                <w:sz w:val="18"/>
              </w:rPr>
              <w:t>100</w:t>
            </w:r>
          </w:p>
        </w:tc>
      </w:tr>
      <w:tr w:rsidR="009C6F8A" w14:paraId="63E330FC" w14:textId="77777777">
        <w:tblPrEx>
          <w:tblCellMar>
            <w:top w:w="0" w:type="dxa"/>
            <w:bottom w:w="0" w:type="dxa"/>
          </w:tblCellMar>
        </w:tblPrEx>
        <w:trPr>
          <w:cantSplit/>
          <w:trHeight w:val="560"/>
        </w:trPr>
        <w:tc>
          <w:tcPr>
            <w:tcW w:w="700" w:type="dxa"/>
            <w:tcMar>
              <w:top w:w="0" w:type="dxa"/>
              <w:bottom w:w="0" w:type="dxa"/>
            </w:tcMar>
            <w:vAlign w:val="center"/>
          </w:tcPr>
          <w:p w14:paraId="103EB148" w14:textId="77777777" w:rsidR="009C6F8A" w:rsidRDefault="009C6F8A">
            <w:pPr>
              <w:keepNext/>
              <w:keepLines/>
              <w:spacing w:after="0" w:line="240" w:lineRule="auto"/>
            </w:pPr>
          </w:p>
        </w:tc>
        <w:tc>
          <w:tcPr>
            <w:tcW w:w="3180" w:type="dxa"/>
            <w:tcMar>
              <w:top w:w="0" w:type="dxa"/>
              <w:bottom w:w="0" w:type="dxa"/>
            </w:tcMar>
            <w:vAlign w:val="center"/>
          </w:tcPr>
          <w:p w14:paraId="5023C037" w14:textId="77777777" w:rsidR="009C6F8A" w:rsidRDefault="00727BBA">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691EC81" w14:textId="77777777" w:rsidR="009C6F8A" w:rsidRDefault="00727BBA">
            <w:pPr>
              <w:keepNext/>
              <w:keepLines/>
              <w:spacing w:after="0" w:line="240" w:lineRule="auto"/>
            </w:pPr>
            <w:r>
              <w:rPr>
                <w:b/>
                <w:sz w:val="18"/>
              </w:rPr>
              <w:t>X003</w:t>
            </w:r>
          </w:p>
        </w:tc>
        <w:tc>
          <w:tcPr>
            <w:tcW w:w="1860" w:type="dxa"/>
            <w:tcMar>
              <w:top w:w="0" w:type="dxa"/>
              <w:bottom w:w="0" w:type="dxa"/>
            </w:tcMar>
            <w:vAlign w:val="center"/>
          </w:tcPr>
          <w:p w14:paraId="272AC145" w14:textId="77777777" w:rsidR="009C6F8A" w:rsidRDefault="00727BBA">
            <w:pPr>
              <w:keepNext/>
              <w:keepLines/>
              <w:spacing w:after="0" w:line="240" w:lineRule="auto"/>
              <w:jc w:val="right"/>
            </w:pPr>
            <w:r>
              <w:rPr>
                <w:b/>
                <w:sz w:val="18"/>
              </w:rPr>
              <w:t>0,00</w:t>
            </w:r>
          </w:p>
        </w:tc>
        <w:tc>
          <w:tcPr>
            <w:tcW w:w="1860" w:type="dxa"/>
            <w:tcMar>
              <w:top w:w="0" w:type="dxa"/>
              <w:bottom w:w="0" w:type="dxa"/>
            </w:tcMar>
            <w:vAlign w:val="center"/>
          </w:tcPr>
          <w:p w14:paraId="2E453495" w14:textId="77777777" w:rsidR="009C6F8A" w:rsidRDefault="00727BBA">
            <w:pPr>
              <w:keepNext/>
              <w:keepLines/>
              <w:spacing w:after="0" w:line="240" w:lineRule="auto"/>
              <w:jc w:val="right"/>
            </w:pPr>
            <w:r>
              <w:rPr>
                <w:b/>
                <w:sz w:val="18"/>
              </w:rPr>
              <w:t>3.604.802,40</w:t>
            </w:r>
          </w:p>
        </w:tc>
        <w:tc>
          <w:tcPr>
            <w:tcW w:w="700" w:type="dxa"/>
            <w:tcMar>
              <w:top w:w="0" w:type="dxa"/>
              <w:bottom w:w="0" w:type="dxa"/>
            </w:tcMar>
            <w:vAlign w:val="center"/>
          </w:tcPr>
          <w:p w14:paraId="2FFEFAAB" w14:textId="77777777" w:rsidR="009C6F8A" w:rsidRDefault="00727BBA">
            <w:pPr>
              <w:keepNext/>
              <w:keepLines/>
              <w:spacing w:after="0" w:line="240" w:lineRule="auto"/>
              <w:jc w:val="right"/>
            </w:pPr>
            <w:r>
              <w:rPr>
                <w:b/>
                <w:sz w:val="18"/>
              </w:rPr>
              <w:t>-</w:t>
            </w:r>
          </w:p>
        </w:tc>
      </w:tr>
      <w:tr w:rsidR="009C6F8A" w14:paraId="02FB2646" w14:textId="77777777">
        <w:tblPrEx>
          <w:tblCellMar>
            <w:top w:w="0" w:type="dxa"/>
            <w:bottom w:w="0" w:type="dxa"/>
          </w:tblCellMar>
        </w:tblPrEx>
        <w:trPr>
          <w:cantSplit/>
          <w:trHeight w:val="560"/>
        </w:trPr>
        <w:tc>
          <w:tcPr>
            <w:tcW w:w="700" w:type="dxa"/>
            <w:tcMar>
              <w:top w:w="0" w:type="dxa"/>
              <w:bottom w:w="0" w:type="dxa"/>
            </w:tcMar>
            <w:vAlign w:val="center"/>
          </w:tcPr>
          <w:p w14:paraId="1DDB1C99" w14:textId="77777777" w:rsidR="009C6F8A" w:rsidRDefault="009C6F8A">
            <w:pPr>
              <w:keepNext/>
              <w:keepLines/>
              <w:spacing w:after="0" w:line="240" w:lineRule="auto"/>
            </w:pPr>
          </w:p>
        </w:tc>
        <w:tc>
          <w:tcPr>
            <w:tcW w:w="3180" w:type="dxa"/>
            <w:tcMar>
              <w:top w:w="0" w:type="dxa"/>
              <w:bottom w:w="0" w:type="dxa"/>
            </w:tcMar>
            <w:vAlign w:val="center"/>
          </w:tcPr>
          <w:p w14:paraId="79E4E661" w14:textId="77777777" w:rsidR="009C6F8A" w:rsidRDefault="00727BBA">
            <w:pPr>
              <w:keepNext/>
              <w:keepLines/>
              <w:spacing w:after="0" w:line="240" w:lineRule="auto"/>
            </w:pPr>
            <w:r>
              <w:rPr>
                <w:b/>
                <w:sz w:val="18"/>
              </w:rPr>
              <w:t>VIŠAK PRIHODA I PRIMITAKA (šifre X678-Y345)</w:t>
            </w:r>
          </w:p>
        </w:tc>
        <w:tc>
          <w:tcPr>
            <w:tcW w:w="700" w:type="dxa"/>
            <w:tcMar>
              <w:top w:w="0" w:type="dxa"/>
              <w:bottom w:w="0" w:type="dxa"/>
            </w:tcMar>
            <w:vAlign w:val="center"/>
          </w:tcPr>
          <w:p w14:paraId="5D671E68" w14:textId="77777777" w:rsidR="009C6F8A" w:rsidRDefault="00727BBA">
            <w:pPr>
              <w:keepNext/>
              <w:keepLines/>
              <w:spacing w:after="0" w:line="240" w:lineRule="auto"/>
            </w:pPr>
            <w:r>
              <w:rPr>
                <w:b/>
                <w:sz w:val="18"/>
              </w:rPr>
              <w:t>X005</w:t>
            </w:r>
          </w:p>
        </w:tc>
        <w:tc>
          <w:tcPr>
            <w:tcW w:w="1860" w:type="dxa"/>
            <w:tcMar>
              <w:top w:w="0" w:type="dxa"/>
              <w:bottom w:w="0" w:type="dxa"/>
            </w:tcMar>
            <w:vAlign w:val="center"/>
          </w:tcPr>
          <w:p w14:paraId="58066FB2" w14:textId="77777777" w:rsidR="009C6F8A" w:rsidRDefault="00727BBA">
            <w:pPr>
              <w:keepNext/>
              <w:keepLines/>
              <w:spacing w:after="0" w:line="240" w:lineRule="auto"/>
              <w:jc w:val="right"/>
            </w:pPr>
            <w:r>
              <w:rPr>
                <w:b/>
                <w:sz w:val="18"/>
              </w:rPr>
              <w:t>0,00</w:t>
            </w:r>
          </w:p>
        </w:tc>
        <w:tc>
          <w:tcPr>
            <w:tcW w:w="1860" w:type="dxa"/>
            <w:tcMar>
              <w:top w:w="0" w:type="dxa"/>
              <w:bottom w:w="0" w:type="dxa"/>
            </w:tcMar>
            <w:vAlign w:val="center"/>
          </w:tcPr>
          <w:p w14:paraId="09F7D96F" w14:textId="77777777" w:rsidR="009C6F8A" w:rsidRDefault="00727BBA">
            <w:pPr>
              <w:keepNext/>
              <w:keepLines/>
              <w:spacing w:after="0" w:line="240" w:lineRule="auto"/>
              <w:jc w:val="right"/>
            </w:pPr>
            <w:r>
              <w:rPr>
                <w:b/>
                <w:sz w:val="18"/>
              </w:rPr>
              <w:t>7.417.471,52</w:t>
            </w:r>
          </w:p>
        </w:tc>
        <w:tc>
          <w:tcPr>
            <w:tcW w:w="700" w:type="dxa"/>
            <w:tcMar>
              <w:top w:w="0" w:type="dxa"/>
              <w:bottom w:w="0" w:type="dxa"/>
            </w:tcMar>
            <w:vAlign w:val="center"/>
          </w:tcPr>
          <w:p w14:paraId="045D1BAB" w14:textId="77777777" w:rsidR="009C6F8A" w:rsidRDefault="00727BBA">
            <w:pPr>
              <w:keepNext/>
              <w:keepLines/>
              <w:spacing w:after="0" w:line="240" w:lineRule="auto"/>
              <w:jc w:val="right"/>
            </w:pPr>
            <w:r>
              <w:rPr>
                <w:b/>
                <w:sz w:val="18"/>
              </w:rPr>
              <w:t>-</w:t>
            </w:r>
          </w:p>
        </w:tc>
      </w:tr>
    </w:tbl>
    <w:p w14:paraId="77F7F2EA" w14:textId="77777777" w:rsidR="009C6F8A" w:rsidRDefault="009C6F8A">
      <w:pPr>
        <w:spacing w:after="0"/>
      </w:pPr>
    </w:p>
    <w:p w14:paraId="7E2EF0A5" w14:textId="77777777" w:rsidR="009C6F8A" w:rsidRDefault="00727BBA">
      <w:pPr>
        <w:jc w:val="both"/>
      </w:pPr>
      <w:r>
        <w:t>Ukupno ostvareni konsolidirani prihodi poslovanja Grada Svete Nedelje iznose 26.942.335,84 eura.   </w:t>
      </w:r>
    </w:p>
    <w:p w14:paraId="69D2E19A" w14:textId="77777777" w:rsidR="009C6F8A" w:rsidRDefault="00727BBA">
      <w:pPr>
        <w:jc w:val="both"/>
      </w:pPr>
      <w:r>
        <w:t>U ukupno ostvarenim prihodima Grad sudjeluje sa 26.387.273,50 eura i ostvareni su  29,9% više u odnosu na prethodnu godinu. Vrijednosno najznačajnije povećanje prihoda poslovanja ostvareno je po osnovi prihoda od poreza, prihoda od pomoći i prihoda od imovine.</w:t>
      </w:r>
    </w:p>
    <w:p w14:paraId="5A25ADEE" w14:textId="77777777" w:rsidR="009C6F8A" w:rsidRDefault="00727BBA">
      <w:pPr>
        <w:jc w:val="both"/>
      </w:pPr>
      <w:r>
        <w:lastRenderedPageBreak/>
        <w:t>Grad Sveta Nedelja ima dva proračunska korisnika: DV Slavuj, RKP: 26231  i Knjižnicu Mihaela Šiloboda Sveta Nedelja RKP: 51142. Proračunski korisnici su ostvarili vlastite i namjenske  prihode u ukupnom iznosu od 555.062,34 eura što je više za 20,52% u odnosu na prethodnu godinu. DV Slavuj  ostvario je prihode u iznosu od 500.766,74 eura što je više za 22,38% u odnosu na prethodnu godinu  i to od uplata roditelja, najma prostora i donacija  ,dok je  Knjižnica Mihaela Šiloboda ostvarila 54.295,60 eura što je</w:t>
      </w:r>
      <w:r>
        <w:t xml:space="preserve"> više za 5,69% i to od pomoći, uplata članarina i </w:t>
      </w:r>
      <w:proofErr w:type="spellStart"/>
      <w:r>
        <w:t>zakasnina</w:t>
      </w:r>
      <w:proofErr w:type="spellEnd"/>
      <w:r>
        <w:t>.</w:t>
      </w:r>
    </w:p>
    <w:p w14:paraId="728E6D42" w14:textId="77777777" w:rsidR="009C6F8A" w:rsidRDefault="00727BBA">
      <w:pPr>
        <w:jc w:val="both"/>
      </w:pPr>
      <w:r>
        <w:t>Rashodi poslovanja veći su u 2025. godini kod Grada i oba proračunska korisnika. Povećanje rashoda kod proračunskih korisnika  uglavnom je rezultat većih  rashoda za zaposlene zbog povećanja osnovice za obračun plaća i većeg broja zaposlenih.</w:t>
      </w:r>
    </w:p>
    <w:p w14:paraId="5D026919" w14:textId="77777777" w:rsidR="009C6F8A" w:rsidRDefault="00727BBA">
      <w:pPr>
        <w:jc w:val="both"/>
      </w:pPr>
      <w:r>
        <w:t xml:space="preserve">Prihode od prodaje </w:t>
      </w:r>
      <w:proofErr w:type="spellStart"/>
      <w:r>
        <w:t>nefinacijske</w:t>
      </w:r>
      <w:proofErr w:type="spellEnd"/>
      <w:r>
        <w:t xml:space="preserve"> imovine ostvario je Grad u iznosu od 13.005.645,00 eura prodajom velikog kompleksa zemljišta putem javnog natječaja.</w:t>
      </w:r>
    </w:p>
    <w:p w14:paraId="4086C21E" w14:textId="77777777" w:rsidR="009C6F8A" w:rsidRDefault="00727BBA">
      <w:pPr>
        <w:jc w:val="both"/>
      </w:pPr>
      <w:r>
        <w:t>Rashodi za nabavu nefinancijske imovine ostvareni su u iznosu 16.297.277,98 eura  ( Grad  16.086.581,10 eura, DV Slavuj  123.475,61 eura, Knjižnica Mihaela Šiloboda  87.221,27 eura ) što je više za 94,50% u odnosu na prethodno razdoblje. Najveće povećanje bilježi Grad.</w:t>
      </w:r>
    </w:p>
    <w:p w14:paraId="0CD1D12B" w14:textId="77777777" w:rsidR="009C6F8A" w:rsidRDefault="00727BBA">
      <w:pPr>
        <w:jc w:val="both"/>
      </w:pPr>
      <w:r>
        <w:t>Primici od financijske imovine i zaduživanja odnose se na Grad i to na kreditna sredstva od  banke za izgradnju sportske dvorane u Kerestincu. Izdaci za financijsku imovinu i otplate zajmova odnose se na Grad i to na otplatne rate kredita za OŠ Strmec.</w:t>
      </w:r>
    </w:p>
    <w:p w14:paraId="6852110C" w14:textId="77777777" w:rsidR="009C6F8A" w:rsidRDefault="00727BBA">
      <w:pPr>
        <w:jc w:val="both"/>
      </w:pPr>
      <w:r>
        <w:t>Ukupno ostvareni konsolidirani rezultat iznosi 7.417.471,52 eura. Grad je ostvario višak od 7.841.584,14 eura, proračunski korisnik DV Slavuj je ostvario manjak od 406.069,57 eura i Knjižnica Mihaela Šiloboda je ostvarila manjak od 18.043,05 eura. </w:t>
      </w:r>
    </w:p>
    <w:p w14:paraId="2F64DC91" w14:textId="77777777" w:rsidR="009C6F8A" w:rsidRDefault="00727BBA">
      <w:pPr>
        <w:jc w:val="both"/>
      </w:pPr>
      <w:r>
        <w:t>Manjak prihoda kod proračunskih korisnika nastao je zbog priznavanja rashoda za zaposlene za 12. mjesec te materijalnih rashoda, a za koje nisu ostvareni prihodi iz nadležnog proračuna ili drugih izvora u trenutku izvještavanja.</w:t>
      </w:r>
    </w:p>
    <w:p w14:paraId="4B6E6D08" w14:textId="77777777" w:rsidR="009C6F8A" w:rsidRDefault="00727BBA">
      <w:pPr>
        <w:jc w:val="both"/>
      </w:pPr>
      <w:r>
        <w:t> </w:t>
      </w:r>
    </w:p>
    <w:p w14:paraId="6659BB3F" w14:textId="77777777" w:rsidR="009C6F8A" w:rsidRDefault="00727BBA">
      <w:r>
        <w:br/>
      </w:r>
    </w:p>
    <w:p w14:paraId="1B715CF2" w14:textId="77777777" w:rsidR="009C6F8A" w:rsidRDefault="00727BB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0D1C9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076975"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659A87"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E5EB89"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9ACFA"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BDD43A"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839402" w14:textId="77777777" w:rsidR="009C6F8A" w:rsidRDefault="00727BBA">
            <w:pPr>
              <w:keepNext/>
              <w:keepLines/>
              <w:spacing w:after="0" w:line="240" w:lineRule="auto"/>
              <w:jc w:val="center"/>
            </w:pPr>
            <w:r>
              <w:rPr>
                <w:b/>
                <w:sz w:val="18"/>
              </w:rPr>
              <w:t>Indeks (%)</w:t>
            </w:r>
          </w:p>
        </w:tc>
      </w:tr>
      <w:tr w:rsidR="009C6F8A" w14:paraId="21219275" w14:textId="77777777">
        <w:tblPrEx>
          <w:tblCellMar>
            <w:top w:w="0" w:type="dxa"/>
            <w:bottom w:w="0" w:type="dxa"/>
          </w:tblCellMar>
        </w:tblPrEx>
        <w:trPr>
          <w:cantSplit/>
          <w:trHeight w:val="560"/>
        </w:trPr>
        <w:tc>
          <w:tcPr>
            <w:tcW w:w="700" w:type="dxa"/>
            <w:tcMar>
              <w:top w:w="0" w:type="dxa"/>
              <w:bottom w:w="0" w:type="dxa"/>
            </w:tcMar>
            <w:vAlign w:val="center"/>
          </w:tcPr>
          <w:p w14:paraId="0B2CE762" w14:textId="77777777" w:rsidR="009C6F8A" w:rsidRDefault="00727BBA">
            <w:pPr>
              <w:keepNext/>
              <w:keepLines/>
              <w:spacing w:after="0" w:line="240" w:lineRule="auto"/>
            </w:pPr>
            <w:r>
              <w:rPr>
                <w:sz w:val="18"/>
              </w:rPr>
              <w:t>611</w:t>
            </w:r>
          </w:p>
        </w:tc>
        <w:tc>
          <w:tcPr>
            <w:tcW w:w="3180" w:type="dxa"/>
            <w:tcMar>
              <w:top w:w="0" w:type="dxa"/>
              <w:bottom w:w="0" w:type="dxa"/>
            </w:tcMar>
            <w:vAlign w:val="center"/>
          </w:tcPr>
          <w:p w14:paraId="54B55BF0" w14:textId="77777777" w:rsidR="009C6F8A" w:rsidRDefault="00727BBA">
            <w:pPr>
              <w:keepNext/>
              <w:keepLines/>
              <w:spacing w:after="0" w:line="240" w:lineRule="auto"/>
            </w:pPr>
            <w:r>
              <w:rPr>
                <w:sz w:val="18"/>
              </w:rPr>
              <w:t>Porez na dohodak (šifre 6111 do 6116 - 6117 - 6119)</w:t>
            </w:r>
          </w:p>
        </w:tc>
        <w:tc>
          <w:tcPr>
            <w:tcW w:w="700" w:type="dxa"/>
            <w:tcMar>
              <w:top w:w="0" w:type="dxa"/>
              <w:bottom w:w="0" w:type="dxa"/>
            </w:tcMar>
            <w:vAlign w:val="center"/>
          </w:tcPr>
          <w:p w14:paraId="4C94FA83" w14:textId="77777777" w:rsidR="009C6F8A" w:rsidRDefault="00727BBA">
            <w:pPr>
              <w:keepNext/>
              <w:keepLines/>
              <w:spacing w:after="0" w:line="240" w:lineRule="auto"/>
            </w:pPr>
            <w:r>
              <w:rPr>
                <w:sz w:val="18"/>
              </w:rPr>
              <w:t>611</w:t>
            </w:r>
          </w:p>
        </w:tc>
        <w:tc>
          <w:tcPr>
            <w:tcW w:w="1860" w:type="dxa"/>
            <w:tcMar>
              <w:top w:w="0" w:type="dxa"/>
              <w:bottom w:w="0" w:type="dxa"/>
            </w:tcMar>
            <w:vAlign w:val="center"/>
          </w:tcPr>
          <w:p w14:paraId="0A5B608A" w14:textId="77777777" w:rsidR="009C6F8A" w:rsidRDefault="00727BBA">
            <w:pPr>
              <w:keepNext/>
              <w:keepLines/>
              <w:spacing w:after="0" w:line="240" w:lineRule="auto"/>
              <w:jc w:val="right"/>
            </w:pPr>
            <w:r>
              <w:rPr>
                <w:sz w:val="18"/>
              </w:rPr>
              <w:t>14.776.062,59</w:t>
            </w:r>
          </w:p>
        </w:tc>
        <w:tc>
          <w:tcPr>
            <w:tcW w:w="1860" w:type="dxa"/>
            <w:tcMar>
              <w:top w:w="0" w:type="dxa"/>
              <w:bottom w:w="0" w:type="dxa"/>
            </w:tcMar>
            <w:vAlign w:val="center"/>
          </w:tcPr>
          <w:p w14:paraId="6E9345A7" w14:textId="77777777" w:rsidR="009C6F8A" w:rsidRDefault="00727BBA">
            <w:pPr>
              <w:keepNext/>
              <w:keepLines/>
              <w:spacing w:after="0" w:line="240" w:lineRule="auto"/>
              <w:jc w:val="right"/>
            </w:pPr>
            <w:r>
              <w:rPr>
                <w:sz w:val="18"/>
              </w:rPr>
              <w:t>17.597.171,25</w:t>
            </w:r>
          </w:p>
        </w:tc>
        <w:tc>
          <w:tcPr>
            <w:tcW w:w="700" w:type="dxa"/>
            <w:tcMar>
              <w:top w:w="0" w:type="dxa"/>
              <w:bottom w:w="0" w:type="dxa"/>
            </w:tcMar>
            <w:vAlign w:val="center"/>
          </w:tcPr>
          <w:p w14:paraId="22E4085D" w14:textId="77777777" w:rsidR="009C6F8A" w:rsidRDefault="00727BBA">
            <w:pPr>
              <w:keepNext/>
              <w:keepLines/>
              <w:spacing w:after="0" w:line="240" w:lineRule="auto"/>
              <w:jc w:val="right"/>
            </w:pPr>
            <w:r>
              <w:rPr>
                <w:sz w:val="18"/>
              </w:rPr>
              <w:t>119,1</w:t>
            </w:r>
          </w:p>
        </w:tc>
      </w:tr>
    </w:tbl>
    <w:p w14:paraId="1FFC4E99" w14:textId="77777777" w:rsidR="009C6F8A" w:rsidRDefault="009C6F8A">
      <w:pPr>
        <w:spacing w:after="0"/>
      </w:pPr>
    </w:p>
    <w:p w14:paraId="2D6010FC" w14:textId="77777777" w:rsidR="009C6F8A" w:rsidRDefault="00727BBA">
      <w:r>
        <w:t>Porez na dohodak bilježi povećanje od 19,10% u odnosu na isto izvještajno razdoblje prethodne godine.  Povećanje poreza na dohodak veće je po svim vrstama dohotka osim poreza na dohodak po godišnjoj prijavi. Najveća povećanja su kod poreza na dohodak od nesamostalnog rada što  je uglavnom rezultat rasta plaća iz kojih se porez generira , poreza od imovine i  poreza na dohodak od kapitala.</w:t>
      </w:r>
    </w:p>
    <w:p w14:paraId="59785F60" w14:textId="77777777" w:rsidR="009C6F8A" w:rsidRDefault="009C6F8A"/>
    <w:p w14:paraId="79EFB8D1" w14:textId="77777777" w:rsidR="009C6F8A" w:rsidRDefault="00727BB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7B9C6C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22D0C"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D720C5"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0DF5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4C1CF"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BD47B"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332197" w14:textId="77777777" w:rsidR="009C6F8A" w:rsidRDefault="00727BBA">
            <w:pPr>
              <w:keepNext/>
              <w:keepLines/>
              <w:spacing w:after="0" w:line="240" w:lineRule="auto"/>
              <w:jc w:val="center"/>
            </w:pPr>
            <w:r>
              <w:rPr>
                <w:b/>
                <w:sz w:val="18"/>
              </w:rPr>
              <w:t>Indeks (%)</w:t>
            </w:r>
          </w:p>
        </w:tc>
      </w:tr>
      <w:tr w:rsidR="009C6F8A" w14:paraId="26869A8B" w14:textId="77777777">
        <w:tblPrEx>
          <w:tblCellMar>
            <w:top w:w="0" w:type="dxa"/>
            <w:bottom w:w="0" w:type="dxa"/>
          </w:tblCellMar>
        </w:tblPrEx>
        <w:trPr>
          <w:cantSplit/>
          <w:trHeight w:val="560"/>
        </w:trPr>
        <w:tc>
          <w:tcPr>
            <w:tcW w:w="700" w:type="dxa"/>
            <w:tcMar>
              <w:top w:w="0" w:type="dxa"/>
              <w:bottom w:w="0" w:type="dxa"/>
            </w:tcMar>
            <w:vAlign w:val="center"/>
          </w:tcPr>
          <w:p w14:paraId="3AF98CBC" w14:textId="77777777" w:rsidR="009C6F8A" w:rsidRDefault="00727BBA">
            <w:pPr>
              <w:keepNext/>
              <w:keepLines/>
              <w:spacing w:after="0" w:line="240" w:lineRule="auto"/>
            </w:pPr>
            <w:r>
              <w:rPr>
                <w:sz w:val="18"/>
              </w:rPr>
              <w:t>613</w:t>
            </w:r>
          </w:p>
        </w:tc>
        <w:tc>
          <w:tcPr>
            <w:tcW w:w="3180" w:type="dxa"/>
            <w:tcMar>
              <w:top w:w="0" w:type="dxa"/>
              <w:bottom w:w="0" w:type="dxa"/>
            </w:tcMar>
            <w:vAlign w:val="center"/>
          </w:tcPr>
          <w:p w14:paraId="1298E609" w14:textId="77777777" w:rsidR="009C6F8A" w:rsidRDefault="00727BBA">
            <w:pPr>
              <w:keepNext/>
              <w:keepLines/>
              <w:spacing w:after="0" w:line="240" w:lineRule="auto"/>
            </w:pPr>
            <w:r>
              <w:rPr>
                <w:sz w:val="18"/>
              </w:rPr>
              <w:t>Porezi na imovinu (šifre 6131 do 6135)</w:t>
            </w:r>
          </w:p>
        </w:tc>
        <w:tc>
          <w:tcPr>
            <w:tcW w:w="700" w:type="dxa"/>
            <w:tcMar>
              <w:top w:w="0" w:type="dxa"/>
              <w:bottom w:w="0" w:type="dxa"/>
            </w:tcMar>
            <w:vAlign w:val="center"/>
          </w:tcPr>
          <w:p w14:paraId="0EBDA3AA" w14:textId="77777777" w:rsidR="009C6F8A" w:rsidRDefault="00727BBA">
            <w:pPr>
              <w:keepNext/>
              <w:keepLines/>
              <w:spacing w:after="0" w:line="240" w:lineRule="auto"/>
            </w:pPr>
            <w:r>
              <w:rPr>
                <w:sz w:val="18"/>
              </w:rPr>
              <w:t>613</w:t>
            </w:r>
          </w:p>
        </w:tc>
        <w:tc>
          <w:tcPr>
            <w:tcW w:w="1860" w:type="dxa"/>
            <w:tcMar>
              <w:top w:w="0" w:type="dxa"/>
              <w:bottom w:w="0" w:type="dxa"/>
            </w:tcMar>
            <w:vAlign w:val="center"/>
          </w:tcPr>
          <w:p w14:paraId="1C3C73AC" w14:textId="77777777" w:rsidR="009C6F8A" w:rsidRDefault="00727BBA">
            <w:pPr>
              <w:keepNext/>
              <w:keepLines/>
              <w:spacing w:after="0" w:line="240" w:lineRule="auto"/>
              <w:jc w:val="right"/>
            </w:pPr>
            <w:r>
              <w:rPr>
                <w:sz w:val="18"/>
              </w:rPr>
              <w:t>1.090.791,56</w:t>
            </w:r>
          </w:p>
        </w:tc>
        <w:tc>
          <w:tcPr>
            <w:tcW w:w="1860" w:type="dxa"/>
            <w:tcMar>
              <w:top w:w="0" w:type="dxa"/>
              <w:bottom w:w="0" w:type="dxa"/>
            </w:tcMar>
            <w:vAlign w:val="center"/>
          </w:tcPr>
          <w:p w14:paraId="562E48D4" w14:textId="77777777" w:rsidR="009C6F8A" w:rsidRDefault="00727BBA">
            <w:pPr>
              <w:keepNext/>
              <w:keepLines/>
              <w:spacing w:after="0" w:line="240" w:lineRule="auto"/>
              <w:jc w:val="right"/>
            </w:pPr>
            <w:r>
              <w:rPr>
                <w:sz w:val="18"/>
              </w:rPr>
              <w:t>1.509.629,58</w:t>
            </w:r>
          </w:p>
        </w:tc>
        <w:tc>
          <w:tcPr>
            <w:tcW w:w="700" w:type="dxa"/>
            <w:tcMar>
              <w:top w:w="0" w:type="dxa"/>
              <w:bottom w:w="0" w:type="dxa"/>
            </w:tcMar>
            <w:vAlign w:val="center"/>
          </w:tcPr>
          <w:p w14:paraId="48ACC176" w14:textId="77777777" w:rsidR="009C6F8A" w:rsidRDefault="00727BBA">
            <w:pPr>
              <w:keepNext/>
              <w:keepLines/>
              <w:spacing w:after="0" w:line="240" w:lineRule="auto"/>
              <w:jc w:val="right"/>
            </w:pPr>
            <w:r>
              <w:rPr>
                <w:sz w:val="18"/>
              </w:rPr>
              <w:t>138,4</w:t>
            </w:r>
          </w:p>
        </w:tc>
      </w:tr>
    </w:tbl>
    <w:p w14:paraId="14E395B3" w14:textId="77777777" w:rsidR="009C6F8A" w:rsidRDefault="009C6F8A">
      <w:pPr>
        <w:spacing w:after="0"/>
      </w:pPr>
    </w:p>
    <w:p w14:paraId="79F2A746" w14:textId="77777777" w:rsidR="009C6F8A" w:rsidRDefault="00727BBA">
      <w:r>
        <w:t>Porezi na imovinu bilježe povećanje od 38,4% u odnosu na  isto izvještajno  razdoblje prethodne godine i to uglavnom zbog veće naplate poreza na promet nekretnina u 2025. godini koja je rezultat povećanog prometa nekretninama ali i porasta cijena po m2. </w:t>
      </w:r>
    </w:p>
    <w:p w14:paraId="6D0831EC" w14:textId="77777777" w:rsidR="009C6F8A" w:rsidRDefault="009C6F8A"/>
    <w:p w14:paraId="6E70108F" w14:textId="77777777" w:rsidR="009C6F8A" w:rsidRDefault="00727BB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2E9A1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83875"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DAB9BE"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494AD"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884FF"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2DD71"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65F160" w14:textId="77777777" w:rsidR="009C6F8A" w:rsidRDefault="00727BBA">
            <w:pPr>
              <w:keepNext/>
              <w:keepLines/>
              <w:spacing w:after="0" w:line="240" w:lineRule="auto"/>
              <w:jc w:val="center"/>
            </w:pPr>
            <w:r>
              <w:rPr>
                <w:b/>
                <w:sz w:val="18"/>
              </w:rPr>
              <w:t>Indeks (%)</w:t>
            </w:r>
          </w:p>
        </w:tc>
      </w:tr>
      <w:tr w:rsidR="009C6F8A" w14:paraId="6A466099" w14:textId="77777777">
        <w:tblPrEx>
          <w:tblCellMar>
            <w:top w:w="0" w:type="dxa"/>
            <w:bottom w:w="0" w:type="dxa"/>
          </w:tblCellMar>
        </w:tblPrEx>
        <w:trPr>
          <w:cantSplit/>
          <w:trHeight w:val="560"/>
        </w:trPr>
        <w:tc>
          <w:tcPr>
            <w:tcW w:w="700" w:type="dxa"/>
            <w:tcMar>
              <w:top w:w="0" w:type="dxa"/>
              <w:bottom w:w="0" w:type="dxa"/>
            </w:tcMar>
            <w:vAlign w:val="center"/>
          </w:tcPr>
          <w:p w14:paraId="57EA6857" w14:textId="77777777" w:rsidR="009C6F8A" w:rsidRDefault="00727BBA">
            <w:pPr>
              <w:keepNext/>
              <w:keepLines/>
              <w:spacing w:after="0" w:line="240" w:lineRule="auto"/>
            </w:pPr>
            <w:r>
              <w:rPr>
                <w:sz w:val="18"/>
              </w:rPr>
              <w:t>633</w:t>
            </w:r>
          </w:p>
        </w:tc>
        <w:tc>
          <w:tcPr>
            <w:tcW w:w="3180" w:type="dxa"/>
            <w:tcMar>
              <w:top w:w="0" w:type="dxa"/>
              <w:bottom w:w="0" w:type="dxa"/>
            </w:tcMar>
            <w:vAlign w:val="center"/>
          </w:tcPr>
          <w:p w14:paraId="56B1BD0E" w14:textId="77777777" w:rsidR="009C6F8A" w:rsidRDefault="00727BBA">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BAE9EB2" w14:textId="77777777" w:rsidR="009C6F8A" w:rsidRDefault="00727BBA">
            <w:pPr>
              <w:keepNext/>
              <w:keepLines/>
              <w:spacing w:after="0" w:line="240" w:lineRule="auto"/>
            </w:pPr>
            <w:r>
              <w:rPr>
                <w:sz w:val="18"/>
              </w:rPr>
              <w:t>633</w:t>
            </w:r>
          </w:p>
        </w:tc>
        <w:tc>
          <w:tcPr>
            <w:tcW w:w="1860" w:type="dxa"/>
            <w:tcMar>
              <w:top w:w="0" w:type="dxa"/>
              <w:bottom w:w="0" w:type="dxa"/>
            </w:tcMar>
            <w:vAlign w:val="center"/>
          </w:tcPr>
          <w:p w14:paraId="750AFFFB" w14:textId="77777777" w:rsidR="009C6F8A" w:rsidRDefault="00727BBA">
            <w:pPr>
              <w:keepNext/>
              <w:keepLines/>
              <w:spacing w:after="0" w:line="240" w:lineRule="auto"/>
              <w:jc w:val="right"/>
            </w:pPr>
            <w:r>
              <w:rPr>
                <w:sz w:val="18"/>
              </w:rPr>
              <w:t>303.641,84</w:t>
            </w:r>
          </w:p>
        </w:tc>
        <w:tc>
          <w:tcPr>
            <w:tcW w:w="1860" w:type="dxa"/>
            <w:tcMar>
              <w:top w:w="0" w:type="dxa"/>
              <w:bottom w:w="0" w:type="dxa"/>
            </w:tcMar>
            <w:vAlign w:val="center"/>
          </w:tcPr>
          <w:p w14:paraId="420B40FC" w14:textId="77777777" w:rsidR="009C6F8A" w:rsidRDefault="00727BBA">
            <w:pPr>
              <w:keepNext/>
              <w:keepLines/>
              <w:spacing w:after="0" w:line="240" w:lineRule="auto"/>
              <w:jc w:val="right"/>
            </w:pPr>
            <w:r>
              <w:rPr>
                <w:sz w:val="18"/>
              </w:rPr>
              <w:t>837.353,99</w:t>
            </w:r>
          </w:p>
        </w:tc>
        <w:tc>
          <w:tcPr>
            <w:tcW w:w="700" w:type="dxa"/>
            <w:tcMar>
              <w:top w:w="0" w:type="dxa"/>
              <w:bottom w:w="0" w:type="dxa"/>
            </w:tcMar>
            <w:vAlign w:val="center"/>
          </w:tcPr>
          <w:p w14:paraId="44C8E6AD" w14:textId="77777777" w:rsidR="009C6F8A" w:rsidRDefault="00727BBA">
            <w:pPr>
              <w:keepNext/>
              <w:keepLines/>
              <w:spacing w:after="0" w:line="240" w:lineRule="auto"/>
              <w:jc w:val="right"/>
            </w:pPr>
            <w:r>
              <w:rPr>
                <w:sz w:val="18"/>
              </w:rPr>
              <w:t>275,8</w:t>
            </w:r>
          </w:p>
        </w:tc>
      </w:tr>
    </w:tbl>
    <w:p w14:paraId="28F4C10C" w14:textId="77777777" w:rsidR="009C6F8A" w:rsidRDefault="009C6F8A">
      <w:pPr>
        <w:spacing w:after="0"/>
      </w:pPr>
    </w:p>
    <w:p w14:paraId="509EBFAD" w14:textId="77777777" w:rsidR="009C6F8A" w:rsidRDefault="00727BBA">
      <w:r>
        <w:t xml:space="preserve">Pomoći proračunu i izvanproračunskim korisnicima iz drugih proračuna bilježe povećanje  od 175,80% i odnose se na: pomoći iz državnog proračuna za fiskalnu održivost dječjih vrtića, za projekt biciklističke staze od ulice Lug uz ulicu dr. Franje Tuđmana, za projekt gradnje sportske dvorane u Kerestincu, za radove na sanaciji opasnog mjesta novom regulacijom prometa tj. </w:t>
      </w:r>
      <w:proofErr w:type="spellStart"/>
      <w:r>
        <w:t>semaforizaciju</w:t>
      </w:r>
      <w:proofErr w:type="spellEnd"/>
      <w:r>
        <w:t xml:space="preserve"> pješačkog prijelaza na ulici </w:t>
      </w:r>
      <w:proofErr w:type="spellStart"/>
      <w:r>
        <w:t>Dr</w:t>
      </w:r>
      <w:proofErr w:type="spellEnd"/>
      <w:r>
        <w:t xml:space="preserve">, Franje Tuđmana, za projekt uređenja parka u DV Slavuj u Strmcu  te uređenje dječjeg igrališta Gmajna u Rakitju  i pomoći iz  županijskog proračuna za kontrolu populacije napuštenih pasa, za lokalne izbore, za radove na obnovi ulice i  izgradnji oborinske odvodnje u ulici Vladimira Nazora u Bestovju, te za izgradnju oborinske odvodnje u Industrijskoj ulici i </w:t>
      </w:r>
      <w:proofErr w:type="spellStart"/>
      <w:r>
        <w:t>Javorskoj</w:t>
      </w:r>
      <w:proofErr w:type="spellEnd"/>
      <w:r>
        <w:t xml:space="preserve"> ulici u Poduzetničkoj zoni.</w:t>
      </w:r>
    </w:p>
    <w:p w14:paraId="752C3346" w14:textId="77777777" w:rsidR="009C6F8A" w:rsidRDefault="009C6F8A"/>
    <w:p w14:paraId="3BB8060E" w14:textId="77777777" w:rsidR="009C6F8A" w:rsidRDefault="00727BB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4C9E2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CD2A3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D965BB"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0AA66"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5E160"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3DCF0"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0FE4D0" w14:textId="77777777" w:rsidR="009C6F8A" w:rsidRDefault="00727BBA">
            <w:pPr>
              <w:keepNext/>
              <w:keepLines/>
              <w:spacing w:after="0" w:line="240" w:lineRule="auto"/>
              <w:jc w:val="center"/>
            </w:pPr>
            <w:r>
              <w:rPr>
                <w:b/>
                <w:sz w:val="18"/>
              </w:rPr>
              <w:t>Indeks (%)</w:t>
            </w:r>
          </w:p>
        </w:tc>
      </w:tr>
      <w:tr w:rsidR="009C6F8A" w14:paraId="26AD8E52" w14:textId="77777777">
        <w:tblPrEx>
          <w:tblCellMar>
            <w:top w:w="0" w:type="dxa"/>
            <w:bottom w:w="0" w:type="dxa"/>
          </w:tblCellMar>
        </w:tblPrEx>
        <w:trPr>
          <w:cantSplit/>
          <w:trHeight w:val="560"/>
        </w:trPr>
        <w:tc>
          <w:tcPr>
            <w:tcW w:w="700" w:type="dxa"/>
            <w:tcMar>
              <w:top w:w="0" w:type="dxa"/>
              <w:bottom w:w="0" w:type="dxa"/>
            </w:tcMar>
            <w:vAlign w:val="center"/>
          </w:tcPr>
          <w:p w14:paraId="600A860D" w14:textId="77777777" w:rsidR="009C6F8A" w:rsidRDefault="00727BBA">
            <w:pPr>
              <w:keepNext/>
              <w:keepLines/>
              <w:spacing w:after="0" w:line="240" w:lineRule="auto"/>
            </w:pPr>
            <w:r>
              <w:rPr>
                <w:sz w:val="18"/>
              </w:rPr>
              <w:t>636</w:t>
            </w:r>
          </w:p>
        </w:tc>
        <w:tc>
          <w:tcPr>
            <w:tcW w:w="3180" w:type="dxa"/>
            <w:tcMar>
              <w:top w:w="0" w:type="dxa"/>
              <w:bottom w:w="0" w:type="dxa"/>
            </w:tcMar>
            <w:vAlign w:val="center"/>
          </w:tcPr>
          <w:p w14:paraId="0EC59431" w14:textId="77777777" w:rsidR="009C6F8A" w:rsidRDefault="00727BBA">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4CD2CBC1" w14:textId="77777777" w:rsidR="009C6F8A" w:rsidRDefault="00727BBA">
            <w:pPr>
              <w:keepNext/>
              <w:keepLines/>
              <w:spacing w:after="0" w:line="240" w:lineRule="auto"/>
            </w:pPr>
            <w:r>
              <w:rPr>
                <w:sz w:val="18"/>
              </w:rPr>
              <w:t>636</w:t>
            </w:r>
          </w:p>
        </w:tc>
        <w:tc>
          <w:tcPr>
            <w:tcW w:w="1860" w:type="dxa"/>
            <w:tcMar>
              <w:top w:w="0" w:type="dxa"/>
              <w:bottom w:w="0" w:type="dxa"/>
            </w:tcMar>
            <w:vAlign w:val="center"/>
          </w:tcPr>
          <w:p w14:paraId="4DDF8E8B" w14:textId="77777777" w:rsidR="009C6F8A" w:rsidRDefault="00727BBA">
            <w:pPr>
              <w:keepNext/>
              <w:keepLines/>
              <w:spacing w:after="0" w:line="240" w:lineRule="auto"/>
              <w:jc w:val="right"/>
            </w:pPr>
            <w:r>
              <w:rPr>
                <w:sz w:val="18"/>
              </w:rPr>
              <w:t>59.521,20</w:t>
            </w:r>
          </w:p>
        </w:tc>
        <w:tc>
          <w:tcPr>
            <w:tcW w:w="1860" w:type="dxa"/>
            <w:tcMar>
              <w:top w:w="0" w:type="dxa"/>
              <w:bottom w:w="0" w:type="dxa"/>
            </w:tcMar>
            <w:vAlign w:val="center"/>
          </w:tcPr>
          <w:p w14:paraId="146C45C3" w14:textId="77777777" w:rsidR="009C6F8A" w:rsidRDefault="00727BBA">
            <w:pPr>
              <w:keepNext/>
              <w:keepLines/>
              <w:spacing w:after="0" w:line="240" w:lineRule="auto"/>
              <w:jc w:val="right"/>
            </w:pPr>
            <w:r>
              <w:rPr>
                <w:sz w:val="18"/>
              </w:rPr>
              <w:t>65.340,00</w:t>
            </w:r>
          </w:p>
        </w:tc>
        <w:tc>
          <w:tcPr>
            <w:tcW w:w="700" w:type="dxa"/>
            <w:tcMar>
              <w:top w:w="0" w:type="dxa"/>
              <w:bottom w:w="0" w:type="dxa"/>
            </w:tcMar>
            <w:vAlign w:val="center"/>
          </w:tcPr>
          <w:p w14:paraId="18BD0676" w14:textId="77777777" w:rsidR="009C6F8A" w:rsidRDefault="00727BBA">
            <w:pPr>
              <w:keepNext/>
              <w:keepLines/>
              <w:spacing w:after="0" w:line="240" w:lineRule="auto"/>
              <w:jc w:val="right"/>
            </w:pPr>
            <w:r>
              <w:rPr>
                <w:sz w:val="18"/>
              </w:rPr>
              <w:t>109,8</w:t>
            </w:r>
          </w:p>
        </w:tc>
      </w:tr>
    </w:tbl>
    <w:p w14:paraId="6B39B521" w14:textId="77777777" w:rsidR="009C6F8A" w:rsidRDefault="009C6F8A">
      <w:pPr>
        <w:spacing w:after="0"/>
      </w:pPr>
    </w:p>
    <w:p w14:paraId="1FE6AEEC" w14:textId="77777777" w:rsidR="009C6F8A" w:rsidRDefault="00727BBA">
      <w:r>
        <w:t xml:space="preserve">Navedenu pomoć je dobila Knjižnica Mihaela Šiloboda  iz državnog proračuna i Zagrebačke Županije za nabavu knjiga u iznosu od 46.560,00 eura i DV Slavuj iz državnog proračuna za program </w:t>
      </w:r>
      <w:proofErr w:type="spellStart"/>
      <w:r>
        <w:t>predškole</w:t>
      </w:r>
      <w:proofErr w:type="spellEnd"/>
      <w:r>
        <w:t xml:space="preserve"> i za odgojne skupine u kojima borave djeca s teškoćama u razvoju 18.780,00 eura.</w:t>
      </w:r>
    </w:p>
    <w:p w14:paraId="6FD157FE" w14:textId="77777777" w:rsidR="009C6F8A" w:rsidRDefault="009C6F8A"/>
    <w:p w14:paraId="4D299752" w14:textId="77777777" w:rsidR="009C6F8A" w:rsidRDefault="00727BBA">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7F6B0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EFBEE"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3BCD1"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DF7238"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2DB573"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6ADDA"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8836D" w14:textId="77777777" w:rsidR="009C6F8A" w:rsidRDefault="00727BBA">
            <w:pPr>
              <w:keepNext/>
              <w:keepLines/>
              <w:spacing w:after="0" w:line="240" w:lineRule="auto"/>
              <w:jc w:val="center"/>
            </w:pPr>
            <w:r>
              <w:rPr>
                <w:b/>
                <w:sz w:val="18"/>
              </w:rPr>
              <w:t>Indeks (%)</w:t>
            </w:r>
          </w:p>
        </w:tc>
      </w:tr>
      <w:tr w:rsidR="009C6F8A" w14:paraId="030B4493" w14:textId="77777777">
        <w:tblPrEx>
          <w:tblCellMar>
            <w:top w:w="0" w:type="dxa"/>
            <w:bottom w:w="0" w:type="dxa"/>
          </w:tblCellMar>
        </w:tblPrEx>
        <w:trPr>
          <w:cantSplit/>
          <w:trHeight w:val="560"/>
        </w:trPr>
        <w:tc>
          <w:tcPr>
            <w:tcW w:w="700" w:type="dxa"/>
            <w:tcMar>
              <w:top w:w="0" w:type="dxa"/>
              <w:bottom w:w="0" w:type="dxa"/>
            </w:tcMar>
            <w:vAlign w:val="center"/>
          </w:tcPr>
          <w:p w14:paraId="7DDA6E61" w14:textId="77777777" w:rsidR="009C6F8A" w:rsidRDefault="00727BBA">
            <w:pPr>
              <w:keepNext/>
              <w:keepLines/>
              <w:spacing w:after="0" w:line="240" w:lineRule="auto"/>
            </w:pPr>
            <w:r>
              <w:rPr>
                <w:sz w:val="18"/>
              </w:rPr>
              <w:t>638</w:t>
            </w:r>
          </w:p>
        </w:tc>
        <w:tc>
          <w:tcPr>
            <w:tcW w:w="3180" w:type="dxa"/>
            <w:tcMar>
              <w:top w:w="0" w:type="dxa"/>
              <w:bottom w:w="0" w:type="dxa"/>
            </w:tcMar>
            <w:vAlign w:val="center"/>
          </w:tcPr>
          <w:p w14:paraId="3FC96EF5" w14:textId="77777777" w:rsidR="009C6F8A" w:rsidRDefault="00727BBA">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DB28040" w14:textId="77777777" w:rsidR="009C6F8A" w:rsidRDefault="00727BBA">
            <w:pPr>
              <w:keepNext/>
              <w:keepLines/>
              <w:spacing w:after="0" w:line="240" w:lineRule="auto"/>
            </w:pPr>
            <w:r>
              <w:rPr>
                <w:sz w:val="18"/>
              </w:rPr>
              <w:t>638</w:t>
            </w:r>
          </w:p>
        </w:tc>
        <w:tc>
          <w:tcPr>
            <w:tcW w:w="1860" w:type="dxa"/>
            <w:tcMar>
              <w:top w:w="0" w:type="dxa"/>
              <w:bottom w:w="0" w:type="dxa"/>
            </w:tcMar>
            <w:vAlign w:val="center"/>
          </w:tcPr>
          <w:p w14:paraId="33EEE986" w14:textId="77777777" w:rsidR="009C6F8A" w:rsidRDefault="00727BBA">
            <w:pPr>
              <w:keepNext/>
              <w:keepLines/>
              <w:spacing w:after="0" w:line="240" w:lineRule="auto"/>
              <w:jc w:val="right"/>
            </w:pPr>
            <w:r>
              <w:rPr>
                <w:sz w:val="18"/>
              </w:rPr>
              <w:t>610.579,09</w:t>
            </w:r>
          </w:p>
        </w:tc>
        <w:tc>
          <w:tcPr>
            <w:tcW w:w="1860" w:type="dxa"/>
            <w:tcMar>
              <w:top w:w="0" w:type="dxa"/>
              <w:bottom w:w="0" w:type="dxa"/>
            </w:tcMar>
            <w:vAlign w:val="center"/>
          </w:tcPr>
          <w:p w14:paraId="6F817E16" w14:textId="77777777" w:rsidR="009C6F8A" w:rsidRDefault="00727BBA">
            <w:pPr>
              <w:keepNext/>
              <w:keepLines/>
              <w:spacing w:after="0" w:line="240" w:lineRule="auto"/>
              <w:jc w:val="right"/>
            </w:pPr>
            <w:r>
              <w:rPr>
                <w:sz w:val="18"/>
              </w:rPr>
              <w:t>3.035.374,38</w:t>
            </w:r>
          </w:p>
        </w:tc>
        <w:tc>
          <w:tcPr>
            <w:tcW w:w="700" w:type="dxa"/>
            <w:tcMar>
              <w:top w:w="0" w:type="dxa"/>
              <w:bottom w:w="0" w:type="dxa"/>
            </w:tcMar>
            <w:vAlign w:val="center"/>
          </w:tcPr>
          <w:p w14:paraId="55CF0BF9" w14:textId="77777777" w:rsidR="009C6F8A" w:rsidRDefault="00727BBA">
            <w:pPr>
              <w:keepNext/>
              <w:keepLines/>
              <w:spacing w:after="0" w:line="240" w:lineRule="auto"/>
              <w:jc w:val="right"/>
            </w:pPr>
            <w:r>
              <w:rPr>
                <w:sz w:val="18"/>
              </w:rPr>
              <w:t>497,1</w:t>
            </w:r>
          </w:p>
        </w:tc>
      </w:tr>
    </w:tbl>
    <w:p w14:paraId="62526B34" w14:textId="77777777" w:rsidR="009C6F8A" w:rsidRDefault="009C6F8A">
      <w:pPr>
        <w:spacing w:after="0"/>
      </w:pPr>
    </w:p>
    <w:p w14:paraId="0EE7A5C1" w14:textId="77777777" w:rsidR="009C6F8A" w:rsidRDefault="00727BBA">
      <w:r>
        <w:t xml:space="preserve">Pomoći temeljem prijenosa EU sredstava bilježe povećanje od 397,10 % u odnosu na isto razdoblje prethodne godine i odnose se na pomoći  za projekt Dvorac Kerestinec, za projekt biciklističke staze od ulice Lug uz ulicu dr. Franje Tuđmana u Svetoj </w:t>
      </w:r>
      <w:proofErr w:type="spellStart"/>
      <w:r>
        <w:t>Nedelji</w:t>
      </w:r>
      <w:proofErr w:type="spellEnd"/>
      <w:r>
        <w:t xml:space="preserve"> , za projekte dogradnje zgrade  DV Slavuj  u Strmcu i dogradnje zgrade DV Slavuj u Novakima-Rakitju te projekte energetske obnove zgrade DD Novaki  i zgrade Sportskog centra Bestovje. Povećanje je najvećim dijelom rezultat naplaćenih sredstava za radove na projektu  dvorca Kerestinec.</w:t>
      </w:r>
    </w:p>
    <w:p w14:paraId="67CE8AE4" w14:textId="77777777" w:rsidR="009C6F8A" w:rsidRDefault="009C6F8A"/>
    <w:p w14:paraId="79B34C5A" w14:textId="77777777" w:rsidR="009C6F8A" w:rsidRDefault="00727BB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1E4FD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851EBD"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F9373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80AE1"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621AC"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68558"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467435" w14:textId="77777777" w:rsidR="009C6F8A" w:rsidRDefault="00727BBA">
            <w:pPr>
              <w:keepNext/>
              <w:keepLines/>
              <w:spacing w:after="0" w:line="240" w:lineRule="auto"/>
              <w:jc w:val="center"/>
            </w:pPr>
            <w:r>
              <w:rPr>
                <w:b/>
                <w:sz w:val="18"/>
              </w:rPr>
              <w:t>Indeks (%)</w:t>
            </w:r>
          </w:p>
        </w:tc>
      </w:tr>
      <w:tr w:rsidR="009C6F8A" w14:paraId="394C79AE" w14:textId="77777777">
        <w:tblPrEx>
          <w:tblCellMar>
            <w:top w:w="0" w:type="dxa"/>
            <w:bottom w:w="0" w:type="dxa"/>
          </w:tblCellMar>
        </w:tblPrEx>
        <w:trPr>
          <w:cantSplit/>
          <w:trHeight w:val="560"/>
        </w:trPr>
        <w:tc>
          <w:tcPr>
            <w:tcW w:w="700" w:type="dxa"/>
            <w:tcMar>
              <w:top w:w="0" w:type="dxa"/>
              <w:bottom w:w="0" w:type="dxa"/>
            </w:tcMar>
            <w:vAlign w:val="center"/>
          </w:tcPr>
          <w:p w14:paraId="68D1A513" w14:textId="77777777" w:rsidR="009C6F8A" w:rsidRDefault="00727BBA">
            <w:pPr>
              <w:keepNext/>
              <w:keepLines/>
              <w:spacing w:after="0" w:line="240" w:lineRule="auto"/>
            </w:pPr>
            <w:r>
              <w:rPr>
                <w:sz w:val="18"/>
              </w:rPr>
              <w:t>641</w:t>
            </w:r>
          </w:p>
        </w:tc>
        <w:tc>
          <w:tcPr>
            <w:tcW w:w="3180" w:type="dxa"/>
            <w:tcMar>
              <w:top w:w="0" w:type="dxa"/>
              <w:bottom w:w="0" w:type="dxa"/>
            </w:tcMar>
            <w:vAlign w:val="center"/>
          </w:tcPr>
          <w:p w14:paraId="4DB6C229" w14:textId="77777777" w:rsidR="009C6F8A" w:rsidRDefault="00727BBA">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77438D30" w14:textId="77777777" w:rsidR="009C6F8A" w:rsidRDefault="00727BBA">
            <w:pPr>
              <w:keepNext/>
              <w:keepLines/>
              <w:spacing w:after="0" w:line="240" w:lineRule="auto"/>
            </w:pPr>
            <w:r>
              <w:rPr>
                <w:sz w:val="18"/>
              </w:rPr>
              <w:t>641</w:t>
            </w:r>
          </w:p>
        </w:tc>
        <w:tc>
          <w:tcPr>
            <w:tcW w:w="1860" w:type="dxa"/>
            <w:tcMar>
              <w:top w:w="0" w:type="dxa"/>
              <w:bottom w:w="0" w:type="dxa"/>
            </w:tcMar>
            <w:vAlign w:val="center"/>
          </w:tcPr>
          <w:p w14:paraId="758C52A9" w14:textId="77777777" w:rsidR="009C6F8A" w:rsidRDefault="00727BBA">
            <w:pPr>
              <w:keepNext/>
              <w:keepLines/>
              <w:spacing w:after="0" w:line="240" w:lineRule="auto"/>
              <w:jc w:val="right"/>
            </w:pPr>
            <w:r>
              <w:rPr>
                <w:sz w:val="18"/>
              </w:rPr>
              <w:t>12.388,43</w:t>
            </w:r>
          </w:p>
        </w:tc>
        <w:tc>
          <w:tcPr>
            <w:tcW w:w="1860" w:type="dxa"/>
            <w:tcMar>
              <w:top w:w="0" w:type="dxa"/>
              <w:bottom w:w="0" w:type="dxa"/>
            </w:tcMar>
            <w:vAlign w:val="center"/>
          </w:tcPr>
          <w:p w14:paraId="234C10B6" w14:textId="77777777" w:rsidR="009C6F8A" w:rsidRDefault="00727BBA">
            <w:pPr>
              <w:keepNext/>
              <w:keepLines/>
              <w:spacing w:after="0" w:line="240" w:lineRule="auto"/>
              <w:jc w:val="right"/>
            </w:pPr>
            <w:r>
              <w:rPr>
                <w:sz w:val="18"/>
              </w:rPr>
              <w:t>45.294,00</w:t>
            </w:r>
          </w:p>
        </w:tc>
        <w:tc>
          <w:tcPr>
            <w:tcW w:w="700" w:type="dxa"/>
            <w:tcMar>
              <w:top w:w="0" w:type="dxa"/>
              <w:bottom w:w="0" w:type="dxa"/>
            </w:tcMar>
            <w:vAlign w:val="center"/>
          </w:tcPr>
          <w:p w14:paraId="3829DE93" w14:textId="77777777" w:rsidR="009C6F8A" w:rsidRDefault="00727BBA">
            <w:pPr>
              <w:keepNext/>
              <w:keepLines/>
              <w:spacing w:after="0" w:line="240" w:lineRule="auto"/>
              <w:jc w:val="right"/>
            </w:pPr>
            <w:r>
              <w:rPr>
                <w:sz w:val="18"/>
              </w:rPr>
              <w:t>365,6</w:t>
            </w:r>
          </w:p>
        </w:tc>
      </w:tr>
    </w:tbl>
    <w:p w14:paraId="45E4DE9A" w14:textId="77777777" w:rsidR="009C6F8A" w:rsidRDefault="009C6F8A">
      <w:pPr>
        <w:spacing w:after="0"/>
      </w:pPr>
    </w:p>
    <w:p w14:paraId="783CA457" w14:textId="77777777" w:rsidR="009C6F8A" w:rsidRDefault="00727BBA">
      <w:r>
        <w:t>Prihodi od financijske imovine  bilježe povećanje od  265,60%  u odnosu na isto  izvještajno razdoblje prethodne godine  zbog naplate kamata na oročena sredstva u 2025. godini i  veće naplate zateznih kamata u odnosu na 2024. godinu.  </w:t>
      </w:r>
    </w:p>
    <w:p w14:paraId="49799B1C" w14:textId="77777777" w:rsidR="009C6F8A" w:rsidRDefault="009C6F8A"/>
    <w:p w14:paraId="5940649A" w14:textId="77777777" w:rsidR="009C6F8A" w:rsidRDefault="00727BBA">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CA407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60433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FF2B3D"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2A749D"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C8806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F1DECF"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FD6F4F" w14:textId="77777777" w:rsidR="009C6F8A" w:rsidRDefault="00727BBA">
            <w:pPr>
              <w:keepNext/>
              <w:keepLines/>
              <w:spacing w:after="0" w:line="240" w:lineRule="auto"/>
              <w:jc w:val="center"/>
            </w:pPr>
            <w:r>
              <w:rPr>
                <w:b/>
                <w:sz w:val="18"/>
              </w:rPr>
              <w:t>Indeks (%)</w:t>
            </w:r>
          </w:p>
        </w:tc>
      </w:tr>
      <w:tr w:rsidR="009C6F8A" w14:paraId="15F98E59" w14:textId="77777777">
        <w:tblPrEx>
          <w:tblCellMar>
            <w:top w:w="0" w:type="dxa"/>
            <w:bottom w:w="0" w:type="dxa"/>
          </w:tblCellMar>
        </w:tblPrEx>
        <w:trPr>
          <w:cantSplit/>
          <w:trHeight w:val="560"/>
        </w:trPr>
        <w:tc>
          <w:tcPr>
            <w:tcW w:w="700" w:type="dxa"/>
            <w:tcMar>
              <w:top w:w="0" w:type="dxa"/>
              <w:bottom w:w="0" w:type="dxa"/>
            </w:tcMar>
            <w:vAlign w:val="center"/>
          </w:tcPr>
          <w:p w14:paraId="0BCC6F70" w14:textId="77777777" w:rsidR="009C6F8A" w:rsidRDefault="00727BBA">
            <w:pPr>
              <w:keepNext/>
              <w:keepLines/>
              <w:spacing w:after="0" w:line="240" w:lineRule="auto"/>
            </w:pPr>
            <w:r>
              <w:rPr>
                <w:sz w:val="18"/>
              </w:rPr>
              <w:t>642</w:t>
            </w:r>
          </w:p>
        </w:tc>
        <w:tc>
          <w:tcPr>
            <w:tcW w:w="3180" w:type="dxa"/>
            <w:tcMar>
              <w:top w:w="0" w:type="dxa"/>
              <w:bottom w:w="0" w:type="dxa"/>
            </w:tcMar>
            <w:vAlign w:val="center"/>
          </w:tcPr>
          <w:p w14:paraId="3CDBC9FE" w14:textId="77777777" w:rsidR="009C6F8A" w:rsidRDefault="00727BBA">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6E0F8DA" w14:textId="77777777" w:rsidR="009C6F8A" w:rsidRDefault="00727BBA">
            <w:pPr>
              <w:keepNext/>
              <w:keepLines/>
              <w:spacing w:after="0" w:line="240" w:lineRule="auto"/>
            </w:pPr>
            <w:r>
              <w:rPr>
                <w:sz w:val="18"/>
              </w:rPr>
              <w:t>642</w:t>
            </w:r>
          </w:p>
        </w:tc>
        <w:tc>
          <w:tcPr>
            <w:tcW w:w="1860" w:type="dxa"/>
            <w:tcMar>
              <w:top w:w="0" w:type="dxa"/>
              <w:bottom w:w="0" w:type="dxa"/>
            </w:tcMar>
            <w:vAlign w:val="center"/>
          </w:tcPr>
          <w:p w14:paraId="0FB7AC66" w14:textId="77777777" w:rsidR="009C6F8A" w:rsidRDefault="00727BBA">
            <w:pPr>
              <w:keepNext/>
              <w:keepLines/>
              <w:spacing w:after="0" w:line="240" w:lineRule="auto"/>
              <w:jc w:val="right"/>
            </w:pPr>
            <w:r>
              <w:rPr>
                <w:sz w:val="18"/>
              </w:rPr>
              <w:t>245.426,60</w:t>
            </w:r>
          </w:p>
        </w:tc>
        <w:tc>
          <w:tcPr>
            <w:tcW w:w="1860" w:type="dxa"/>
            <w:tcMar>
              <w:top w:w="0" w:type="dxa"/>
              <w:bottom w:w="0" w:type="dxa"/>
            </w:tcMar>
            <w:vAlign w:val="center"/>
          </w:tcPr>
          <w:p w14:paraId="145D796F" w14:textId="77777777" w:rsidR="009C6F8A" w:rsidRDefault="00727BBA">
            <w:pPr>
              <w:keepNext/>
              <w:keepLines/>
              <w:spacing w:after="0" w:line="240" w:lineRule="auto"/>
              <w:jc w:val="right"/>
            </w:pPr>
            <w:r>
              <w:rPr>
                <w:sz w:val="18"/>
              </w:rPr>
              <w:t>314.850,11</w:t>
            </w:r>
          </w:p>
        </w:tc>
        <w:tc>
          <w:tcPr>
            <w:tcW w:w="700" w:type="dxa"/>
            <w:tcMar>
              <w:top w:w="0" w:type="dxa"/>
              <w:bottom w:w="0" w:type="dxa"/>
            </w:tcMar>
            <w:vAlign w:val="center"/>
          </w:tcPr>
          <w:p w14:paraId="61084986" w14:textId="77777777" w:rsidR="009C6F8A" w:rsidRDefault="00727BBA">
            <w:pPr>
              <w:keepNext/>
              <w:keepLines/>
              <w:spacing w:after="0" w:line="240" w:lineRule="auto"/>
              <w:jc w:val="right"/>
            </w:pPr>
            <w:r>
              <w:rPr>
                <w:sz w:val="18"/>
              </w:rPr>
              <w:t>128,3</w:t>
            </w:r>
          </w:p>
        </w:tc>
      </w:tr>
    </w:tbl>
    <w:p w14:paraId="21D698B1" w14:textId="77777777" w:rsidR="009C6F8A" w:rsidRDefault="009C6F8A">
      <w:pPr>
        <w:spacing w:after="0"/>
      </w:pPr>
    </w:p>
    <w:p w14:paraId="40AC8628" w14:textId="77777777" w:rsidR="009C6F8A" w:rsidRDefault="00727BBA">
      <w:r>
        <w:t>Prihodi od nefinancijske imovine bilježe povećanje od 28,3% u odnosu na isto izvještajno razdoblje prethodne godine. Navedeno povećanje ostvareno je zbog većih prihoda od naknade za koncesije, naknade za korištenje nefinancijske imovine  i ostalih prihoda od nefinancijske imovine.</w:t>
      </w:r>
    </w:p>
    <w:p w14:paraId="35A38DCA" w14:textId="77777777" w:rsidR="009C6F8A" w:rsidRDefault="009C6F8A"/>
    <w:p w14:paraId="5E834F61" w14:textId="77777777" w:rsidR="009C6F8A" w:rsidRDefault="00727BBA">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DD723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8923A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29178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7884DD"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DDE9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A010B4"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ADB3CA" w14:textId="77777777" w:rsidR="009C6F8A" w:rsidRDefault="00727BBA">
            <w:pPr>
              <w:keepNext/>
              <w:keepLines/>
              <w:spacing w:after="0" w:line="240" w:lineRule="auto"/>
              <w:jc w:val="center"/>
            </w:pPr>
            <w:r>
              <w:rPr>
                <w:b/>
                <w:sz w:val="18"/>
              </w:rPr>
              <w:t>Indeks (%)</w:t>
            </w:r>
          </w:p>
        </w:tc>
      </w:tr>
      <w:tr w:rsidR="009C6F8A" w14:paraId="50AD95D9" w14:textId="77777777">
        <w:tblPrEx>
          <w:tblCellMar>
            <w:top w:w="0" w:type="dxa"/>
            <w:bottom w:w="0" w:type="dxa"/>
          </w:tblCellMar>
        </w:tblPrEx>
        <w:trPr>
          <w:cantSplit/>
          <w:trHeight w:val="560"/>
        </w:trPr>
        <w:tc>
          <w:tcPr>
            <w:tcW w:w="700" w:type="dxa"/>
            <w:tcMar>
              <w:top w:w="0" w:type="dxa"/>
              <w:bottom w:w="0" w:type="dxa"/>
            </w:tcMar>
            <w:vAlign w:val="center"/>
          </w:tcPr>
          <w:p w14:paraId="517AAF09" w14:textId="77777777" w:rsidR="009C6F8A" w:rsidRDefault="00727BBA">
            <w:pPr>
              <w:keepNext/>
              <w:keepLines/>
              <w:spacing w:after="0" w:line="240" w:lineRule="auto"/>
            </w:pPr>
            <w:r>
              <w:rPr>
                <w:sz w:val="18"/>
              </w:rPr>
              <w:t>652</w:t>
            </w:r>
          </w:p>
        </w:tc>
        <w:tc>
          <w:tcPr>
            <w:tcW w:w="3180" w:type="dxa"/>
            <w:tcMar>
              <w:top w:w="0" w:type="dxa"/>
              <w:bottom w:w="0" w:type="dxa"/>
            </w:tcMar>
            <w:vAlign w:val="center"/>
          </w:tcPr>
          <w:p w14:paraId="6A99C090" w14:textId="77777777" w:rsidR="009C6F8A" w:rsidRDefault="00727BBA">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77D3B6A" w14:textId="77777777" w:rsidR="009C6F8A" w:rsidRDefault="00727BBA">
            <w:pPr>
              <w:keepNext/>
              <w:keepLines/>
              <w:spacing w:after="0" w:line="240" w:lineRule="auto"/>
            </w:pPr>
            <w:r>
              <w:rPr>
                <w:sz w:val="18"/>
              </w:rPr>
              <w:t>652</w:t>
            </w:r>
          </w:p>
        </w:tc>
        <w:tc>
          <w:tcPr>
            <w:tcW w:w="1860" w:type="dxa"/>
            <w:tcMar>
              <w:top w:w="0" w:type="dxa"/>
              <w:bottom w:w="0" w:type="dxa"/>
            </w:tcMar>
            <w:vAlign w:val="center"/>
          </w:tcPr>
          <w:p w14:paraId="0A5D28F4" w14:textId="77777777" w:rsidR="009C6F8A" w:rsidRDefault="00727BBA">
            <w:pPr>
              <w:keepNext/>
              <w:keepLines/>
              <w:spacing w:after="0" w:line="240" w:lineRule="auto"/>
              <w:jc w:val="right"/>
            </w:pPr>
            <w:r>
              <w:rPr>
                <w:sz w:val="18"/>
              </w:rPr>
              <w:t>397.550,99</w:t>
            </w:r>
          </w:p>
        </w:tc>
        <w:tc>
          <w:tcPr>
            <w:tcW w:w="1860" w:type="dxa"/>
            <w:tcMar>
              <w:top w:w="0" w:type="dxa"/>
              <w:bottom w:w="0" w:type="dxa"/>
            </w:tcMar>
            <w:vAlign w:val="center"/>
          </w:tcPr>
          <w:p w14:paraId="32F8CB25" w14:textId="77777777" w:rsidR="009C6F8A" w:rsidRDefault="00727BBA">
            <w:pPr>
              <w:keepNext/>
              <w:keepLines/>
              <w:spacing w:after="0" w:line="240" w:lineRule="auto"/>
              <w:jc w:val="right"/>
            </w:pPr>
            <w:r>
              <w:rPr>
                <w:sz w:val="18"/>
              </w:rPr>
              <w:t>484.093,92</w:t>
            </w:r>
          </w:p>
        </w:tc>
        <w:tc>
          <w:tcPr>
            <w:tcW w:w="700" w:type="dxa"/>
            <w:tcMar>
              <w:top w:w="0" w:type="dxa"/>
              <w:bottom w:w="0" w:type="dxa"/>
            </w:tcMar>
            <w:vAlign w:val="center"/>
          </w:tcPr>
          <w:p w14:paraId="0D960E41" w14:textId="77777777" w:rsidR="009C6F8A" w:rsidRDefault="00727BBA">
            <w:pPr>
              <w:keepNext/>
              <w:keepLines/>
              <w:spacing w:after="0" w:line="240" w:lineRule="auto"/>
              <w:jc w:val="right"/>
            </w:pPr>
            <w:r>
              <w:rPr>
                <w:sz w:val="18"/>
              </w:rPr>
              <w:t>121,8</w:t>
            </w:r>
          </w:p>
        </w:tc>
      </w:tr>
    </w:tbl>
    <w:p w14:paraId="2E5A958D" w14:textId="77777777" w:rsidR="009C6F8A" w:rsidRDefault="009C6F8A">
      <w:pPr>
        <w:spacing w:after="0"/>
      </w:pPr>
    </w:p>
    <w:p w14:paraId="64281564" w14:textId="77777777" w:rsidR="009C6F8A" w:rsidRDefault="00727BBA">
      <w:r>
        <w:t>Prihodi po posebnim propisima bilježe povećanje  od 21,8%  u odnosu na isto izvještajno razdoblje prošle godine i odnose se na prihode Grada i prihode proračunskog korisnika DV Slavuj od uplate roditelja  za redovni program i dodatne programe.</w:t>
      </w:r>
    </w:p>
    <w:p w14:paraId="70C98EFE" w14:textId="77777777" w:rsidR="009C6F8A" w:rsidRDefault="009C6F8A"/>
    <w:p w14:paraId="7F7F952A" w14:textId="77777777" w:rsidR="009C6F8A" w:rsidRDefault="00727BB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B7BFF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A65DD"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72C7FF"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F4D0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A61F5"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C9CC4"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D6F4DA" w14:textId="77777777" w:rsidR="009C6F8A" w:rsidRDefault="00727BBA">
            <w:pPr>
              <w:keepNext/>
              <w:keepLines/>
              <w:spacing w:after="0" w:line="240" w:lineRule="auto"/>
              <w:jc w:val="center"/>
            </w:pPr>
            <w:r>
              <w:rPr>
                <w:b/>
                <w:sz w:val="18"/>
              </w:rPr>
              <w:t>Indeks (%)</w:t>
            </w:r>
          </w:p>
        </w:tc>
      </w:tr>
      <w:tr w:rsidR="009C6F8A" w14:paraId="2BC539A5" w14:textId="77777777">
        <w:tblPrEx>
          <w:tblCellMar>
            <w:top w:w="0" w:type="dxa"/>
            <w:bottom w:w="0" w:type="dxa"/>
          </w:tblCellMar>
        </w:tblPrEx>
        <w:trPr>
          <w:cantSplit/>
          <w:trHeight w:val="560"/>
        </w:trPr>
        <w:tc>
          <w:tcPr>
            <w:tcW w:w="700" w:type="dxa"/>
            <w:tcMar>
              <w:top w:w="0" w:type="dxa"/>
              <w:bottom w:w="0" w:type="dxa"/>
            </w:tcMar>
            <w:vAlign w:val="center"/>
          </w:tcPr>
          <w:p w14:paraId="2F069797" w14:textId="77777777" w:rsidR="009C6F8A" w:rsidRDefault="00727BBA">
            <w:pPr>
              <w:keepNext/>
              <w:keepLines/>
              <w:spacing w:after="0" w:line="240" w:lineRule="auto"/>
            </w:pPr>
            <w:r>
              <w:rPr>
                <w:sz w:val="18"/>
              </w:rPr>
              <w:t>653</w:t>
            </w:r>
          </w:p>
        </w:tc>
        <w:tc>
          <w:tcPr>
            <w:tcW w:w="3180" w:type="dxa"/>
            <w:tcMar>
              <w:top w:w="0" w:type="dxa"/>
              <w:bottom w:w="0" w:type="dxa"/>
            </w:tcMar>
            <w:vAlign w:val="center"/>
          </w:tcPr>
          <w:p w14:paraId="2AF25982" w14:textId="77777777" w:rsidR="009C6F8A" w:rsidRDefault="00727BBA">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2E609CC4" w14:textId="77777777" w:rsidR="009C6F8A" w:rsidRDefault="00727BBA">
            <w:pPr>
              <w:keepNext/>
              <w:keepLines/>
              <w:spacing w:after="0" w:line="240" w:lineRule="auto"/>
            </w:pPr>
            <w:r>
              <w:rPr>
                <w:sz w:val="18"/>
              </w:rPr>
              <w:t>653</w:t>
            </w:r>
          </w:p>
        </w:tc>
        <w:tc>
          <w:tcPr>
            <w:tcW w:w="1860" w:type="dxa"/>
            <w:tcMar>
              <w:top w:w="0" w:type="dxa"/>
              <w:bottom w:w="0" w:type="dxa"/>
            </w:tcMar>
            <w:vAlign w:val="center"/>
          </w:tcPr>
          <w:p w14:paraId="4B6AE6CD" w14:textId="77777777" w:rsidR="009C6F8A" w:rsidRDefault="00727BBA">
            <w:pPr>
              <w:keepNext/>
              <w:keepLines/>
              <w:spacing w:after="0" w:line="240" w:lineRule="auto"/>
              <w:jc w:val="right"/>
            </w:pPr>
            <w:r>
              <w:rPr>
                <w:sz w:val="18"/>
              </w:rPr>
              <w:t>2.787.957,18</w:t>
            </w:r>
          </w:p>
        </w:tc>
        <w:tc>
          <w:tcPr>
            <w:tcW w:w="1860" w:type="dxa"/>
            <w:tcMar>
              <w:top w:w="0" w:type="dxa"/>
              <w:bottom w:w="0" w:type="dxa"/>
            </w:tcMar>
            <w:vAlign w:val="center"/>
          </w:tcPr>
          <w:p w14:paraId="5F2535A1" w14:textId="77777777" w:rsidR="009C6F8A" w:rsidRDefault="00727BBA">
            <w:pPr>
              <w:keepNext/>
              <w:keepLines/>
              <w:spacing w:after="0" w:line="240" w:lineRule="auto"/>
              <w:jc w:val="right"/>
            </w:pPr>
            <w:r>
              <w:rPr>
                <w:sz w:val="18"/>
              </w:rPr>
              <w:t>2.691.751,35</w:t>
            </w:r>
          </w:p>
        </w:tc>
        <w:tc>
          <w:tcPr>
            <w:tcW w:w="700" w:type="dxa"/>
            <w:tcMar>
              <w:top w:w="0" w:type="dxa"/>
              <w:bottom w:w="0" w:type="dxa"/>
            </w:tcMar>
            <w:vAlign w:val="center"/>
          </w:tcPr>
          <w:p w14:paraId="318739E8" w14:textId="77777777" w:rsidR="009C6F8A" w:rsidRDefault="00727BBA">
            <w:pPr>
              <w:keepNext/>
              <w:keepLines/>
              <w:spacing w:after="0" w:line="240" w:lineRule="auto"/>
              <w:jc w:val="right"/>
            </w:pPr>
            <w:r>
              <w:rPr>
                <w:sz w:val="18"/>
              </w:rPr>
              <w:t>96,5</w:t>
            </w:r>
          </w:p>
        </w:tc>
      </w:tr>
    </w:tbl>
    <w:p w14:paraId="484149E7" w14:textId="77777777" w:rsidR="009C6F8A" w:rsidRDefault="009C6F8A">
      <w:pPr>
        <w:spacing w:after="0"/>
      </w:pPr>
    </w:p>
    <w:p w14:paraId="0BBD1064" w14:textId="77777777" w:rsidR="009C6F8A" w:rsidRDefault="00727BBA">
      <w:r>
        <w:t>Komunalni doprinosi i naknade  bilježe smanjenje od 3,5 %  u odnosu na isto izvještajno razdoblje prošle godine. Navedeno smanjenje rezultat je manje naplate komunalnog doprinosa u 2025. godini.</w:t>
      </w:r>
    </w:p>
    <w:p w14:paraId="6F2A8E43" w14:textId="77777777" w:rsidR="009C6F8A" w:rsidRDefault="009C6F8A"/>
    <w:p w14:paraId="4EA09A8C" w14:textId="77777777" w:rsidR="009C6F8A" w:rsidRDefault="00727BB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1DB2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5D09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3001A1"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B4FFD"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F866DD"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F10D6"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85D8CE" w14:textId="77777777" w:rsidR="009C6F8A" w:rsidRDefault="00727BBA">
            <w:pPr>
              <w:keepNext/>
              <w:keepLines/>
              <w:spacing w:after="0" w:line="240" w:lineRule="auto"/>
              <w:jc w:val="center"/>
            </w:pPr>
            <w:r>
              <w:rPr>
                <w:b/>
                <w:sz w:val="18"/>
              </w:rPr>
              <w:t>Indeks (%)</w:t>
            </w:r>
          </w:p>
        </w:tc>
      </w:tr>
      <w:tr w:rsidR="009C6F8A" w14:paraId="5ACE3735" w14:textId="77777777">
        <w:tblPrEx>
          <w:tblCellMar>
            <w:top w:w="0" w:type="dxa"/>
            <w:bottom w:w="0" w:type="dxa"/>
          </w:tblCellMar>
        </w:tblPrEx>
        <w:trPr>
          <w:cantSplit/>
          <w:trHeight w:val="560"/>
        </w:trPr>
        <w:tc>
          <w:tcPr>
            <w:tcW w:w="700" w:type="dxa"/>
            <w:tcMar>
              <w:top w:w="0" w:type="dxa"/>
              <w:bottom w:w="0" w:type="dxa"/>
            </w:tcMar>
            <w:vAlign w:val="center"/>
          </w:tcPr>
          <w:p w14:paraId="2EC50718" w14:textId="77777777" w:rsidR="009C6F8A" w:rsidRDefault="00727BBA">
            <w:pPr>
              <w:keepNext/>
              <w:keepLines/>
              <w:spacing w:after="0" w:line="240" w:lineRule="auto"/>
            </w:pPr>
            <w:r>
              <w:rPr>
                <w:sz w:val="18"/>
              </w:rPr>
              <w:t>661</w:t>
            </w:r>
          </w:p>
        </w:tc>
        <w:tc>
          <w:tcPr>
            <w:tcW w:w="3180" w:type="dxa"/>
            <w:tcMar>
              <w:top w:w="0" w:type="dxa"/>
              <w:bottom w:w="0" w:type="dxa"/>
            </w:tcMar>
            <w:vAlign w:val="center"/>
          </w:tcPr>
          <w:p w14:paraId="57ADE67B" w14:textId="77777777" w:rsidR="009C6F8A" w:rsidRDefault="00727BBA">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456FD074" w14:textId="77777777" w:rsidR="009C6F8A" w:rsidRDefault="00727BBA">
            <w:pPr>
              <w:keepNext/>
              <w:keepLines/>
              <w:spacing w:after="0" w:line="240" w:lineRule="auto"/>
            </w:pPr>
            <w:r>
              <w:rPr>
                <w:sz w:val="18"/>
              </w:rPr>
              <w:t>661</w:t>
            </w:r>
          </w:p>
        </w:tc>
        <w:tc>
          <w:tcPr>
            <w:tcW w:w="1860" w:type="dxa"/>
            <w:tcMar>
              <w:top w:w="0" w:type="dxa"/>
              <w:bottom w:w="0" w:type="dxa"/>
            </w:tcMar>
            <w:vAlign w:val="center"/>
          </w:tcPr>
          <w:p w14:paraId="6D9CCED3" w14:textId="77777777" w:rsidR="009C6F8A" w:rsidRDefault="00727BBA">
            <w:pPr>
              <w:keepNext/>
              <w:keepLines/>
              <w:spacing w:after="0" w:line="240" w:lineRule="auto"/>
              <w:jc w:val="right"/>
            </w:pPr>
            <w:r>
              <w:rPr>
                <w:sz w:val="18"/>
              </w:rPr>
              <w:t>93.515,74</w:t>
            </w:r>
          </w:p>
        </w:tc>
        <w:tc>
          <w:tcPr>
            <w:tcW w:w="1860" w:type="dxa"/>
            <w:tcMar>
              <w:top w:w="0" w:type="dxa"/>
              <w:bottom w:w="0" w:type="dxa"/>
            </w:tcMar>
            <w:vAlign w:val="center"/>
          </w:tcPr>
          <w:p w14:paraId="33B768F1" w14:textId="77777777" w:rsidR="009C6F8A" w:rsidRDefault="00727BBA">
            <w:pPr>
              <w:keepNext/>
              <w:keepLines/>
              <w:spacing w:after="0" w:line="240" w:lineRule="auto"/>
              <w:jc w:val="right"/>
            </w:pPr>
            <w:r>
              <w:rPr>
                <w:sz w:val="18"/>
              </w:rPr>
              <w:t>94.814,54</w:t>
            </w:r>
          </w:p>
        </w:tc>
        <w:tc>
          <w:tcPr>
            <w:tcW w:w="700" w:type="dxa"/>
            <w:tcMar>
              <w:top w:w="0" w:type="dxa"/>
              <w:bottom w:w="0" w:type="dxa"/>
            </w:tcMar>
            <w:vAlign w:val="center"/>
          </w:tcPr>
          <w:p w14:paraId="1E41BBCC" w14:textId="77777777" w:rsidR="009C6F8A" w:rsidRDefault="00727BBA">
            <w:pPr>
              <w:keepNext/>
              <w:keepLines/>
              <w:spacing w:after="0" w:line="240" w:lineRule="auto"/>
              <w:jc w:val="right"/>
            </w:pPr>
            <w:r>
              <w:rPr>
                <w:sz w:val="18"/>
              </w:rPr>
              <w:t>101,4</w:t>
            </w:r>
          </w:p>
        </w:tc>
      </w:tr>
    </w:tbl>
    <w:p w14:paraId="3428CBA3" w14:textId="77777777" w:rsidR="009C6F8A" w:rsidRDefault="009C6F8A">
      <w:pPr>
        <w:spacing w:after="0"/>
      </w:pPr>
    </w:p>
    <w:p w14:paraId="1C190ED3" w14:textId="77777777" w:rsidR="009C6F8A" w:rsidRDefault="00727BBA">
      <w:r>
        <w:t xml:space="preserve">Prihodi od prodaje proizvoda i robe te pruženih usluga bilježe povećanje od 1,4% u odnosu na isto  izvještajno razdoblje prethodne godine  i odnose se na prihode Grada za izvršenu uslugu razreza i naplate naknade za uređenje </w:t>
      </w:r>
      <w:proofErr w:type="spellStart"/>
      <w:r>
        <w:t>voda,na</w:t>
      </w:r>
      <w:proofErr w:type="spellEnd"/>
      <w:r>
        <w:t xml:space="preserve"> prihode koje je ostvario DV Slavuj od najma prostora i prihode Knjižnice Mihaela Šiloboda od uplata članarina i </w:t>
      </w:r>
      <w:proofErr w:type="spellStart"/>
      <w:r>
        <w:t>zakasnina</w:t>
      </w:r>
      <w:proofErr w:type="spellEnd"/>
      <w:r>
        <w:t>.</w:t>
      </w:r>
    </w:p>
    <w:p w14:paraId="085A69A1" w14:textId="77777777" w:rsidR="009C6F8A" w:rsidRDefault="009C6F8A"/>
    <w:p w14:paraId="0F930914" w14:textId="77777777" w:rsidR="009C6F8A" w:rsidRDefault="00727BB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13EF85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CFF19A"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4504D"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96C06"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1D1AF"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6068F"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368094" w14:textId="77777777" w:rsidR="009C6F8A" w:rsidRDefault="00727BBA">
            <w:pPr>
              <w:keepNext/>
              <w:keepLines/>
              <w:spacing w:after="0" w:line="240" w:lineRule="auto"/>
              <w:jc w:val="center"/>
            </w:pPr>
            <w:r>
              <w:rPr>
                <w:b/>
                <w:sz w:val="18"/>
              </w:rPr>
              <w:t>Indeks (%)</w:t>
            </w:r>
          </w:p>
        </w:tc>
      </w:tr>
      <w:tr w:rsidR="009C6F8A" w14:paraId="52383846" w14:textId="77777777">
        <w:tblPrEx>
          <w:tblCellMar>
            <w:top w:w="0" w:type="dxa"/>
            <w:bottom w:w="0" w:type="dxa"/>
          </w:tblCellMar>
        </w:tblPrEx>
        <w:trPr>
          <w:cantSplit/>
          <w:trHeight w:val="560"/>
        </w:trPr>
        <w:tc>
          <w:tcPr>
            <w:tcW w:w="700" w:type="dxa"/>
            <w:tcMar>
              <w:top w:w="0" w:type="dxa"/>
              <w:bottom w:w="0" w:type="dxa"/>
            </w:tcMar>
            <w:vAlign w:val="center"/>
          </w:tcPr>
          <w:p w14:paraId="66E19A99" w14:textId="77777777" w:rsidR="009C6F8A" w:rsidRDefault="00727BBA">
            <w:pPr>
              <w:keepNext/>
              <w:keepLines/>
              <w:spacing w:after="0" w:line="240" w:lineRule="auto"/>
            </w:pPr>
            <w:r>
              <w:rPr>
                <w:sz w:val="18"/>
              </w:rPr>
              <w:t>663</w:t>
            </w:r>
          </w:p>
        </w:tc>
        <w:tc>
          <w:tcPr>
            <w:tcW w:w="3180" w:type="dxa"/>
            <w:tcMar>
              <w:top w:w="0" w:type="dxa"/>
              <w:bottom w:w="0" w:type="dxa"/>
            </w:tcMar>
            <w:vAlign w:val="center"/>
          </w:tcPr>
          <w:p w14:paraId="77F4DFA2" w14:textId="77777777" w:rsidR="009C6F8A" w:rsidRDefault="00727BBA">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83433F4" w14:textId="77777777" w:rsidR="009C6F8A" w:rsidRDefault="00727BBA">
            <w:pPr>
              <w:keepNext/>
              <w:keepLines/>
              <w:spacing w:after="0" w:line="240" w:lineRule="auto"/>
            </w:pPr>
            <w:r>
              <w:rPr>
                <w:sz w:val="18"/>
              </w:rPr>
              <w:t>663</w:t>
            </w:r>
          </w:p>
        </w:tc>
        <w:tc>
          <w:tcPr>
            <w:tcW w:w="1860" w:type="dxa"/>
            <w:tcMar>
              <w:top w:w="0" w:type="dxa"/>
              <w:bottom w:w="0" w:type="dxa"/>
            </w:tcMar>
            <w:vAlign w:val="center"/>
          </w:tcPr>
          <w:p w14:paraId="55B9D2E8" w14:textId="77777777" w:rsidR="009C6F8A" w:rsidRDefault="00727BBA">
            <w:pPr>
              <w:keepNext/>
              <w:keepLines/>
              <w:spacing w:after="0" w:line="240" w:lineRule="auto"/>
              <w:jc w:val="right"/>
            </w:pPr>
            <w:r>
              <w:rPr>
                <w:sz w:val="18"/>
              </w:rPr>
              <w:t>118.589,28</w:t>
            </w:r>
          </w:p>
        </w:tc>
        <w:tc>
          <w:tcPr>
            <w:tcW w:w="1860" w:type="dxa"/>
            <w:tcMar>
              <w:top w:w="0" w:type="dxa"/>
              <w:bottom w:w="0" w:type="dxa"/>
            </w:tcMar>
            <w:vAlign w:val="center"/>
          </w:tcPr>
          <w:p w14:paraId="54DD021F" w14:textId="77777777" w:rsidR="009C6F8A" w:rsidRDefault="00727BBA">
            <w:pPr>
              <w:keepNext/>
              <w:keepLines/>
              <w:spacing w:after="0" w:line="240" w:lineRule="auto"/>
              <w:jc w:val="right"/>
            </w:pPr>
            <w:r>
              <w:rPr>
                <w:sz w:val="18"/>
              </w:rPr>
              <w:t>32.402,61</w:t>
            </w:r>
          </w:p>
        </w:tc>
        <w:tc>
          <w:tcPr>
            <w:tcW w:w="700" w:type="dxa"/>
            <w:tcMar>
              <w:top w:w="0" w:type="dxa"/>
              <w:bottom w:w="0" w:type="dxa"/>
            </w:tcMar>
            <w:vAlign w:val="center"/>
          </w:tcPr>
          <w:p w14:paraId="3DA7320F" w14:textId="77777777" w:rsidR="009C6F8A" w:rsidRDefault="00727BBA">
            <w:pPr>
              <w:keepNext/>
              <w:keepLines/>
              <w:spacing w:after="0" w:line="240" w:lineRule="auto"/>
              <w:jc w:val="right"/>
            </w:pPr>
            <w:r>
              <w:rPr>
                <w:sz w:val="18"/>
              </w:rPr>
              <w:t>27,3</w:t>
            </w:r>
          </w:p>
        </w:tc>
      </w:tr>
    </w:tbl>
    <w:p w14:paraId="51D3B291" w14:textId="77777777" w:rsidR="009C6F8A" w:rsidRDefault="009C6F8A">
      <w:pPr>
        <w:spacing w:after="0"/>
      </w:pPr>
    </w:p>
    <w:p w14:paraId="4176360C" w14:textId="77777777" w:rsidR="009C6F8A" w:rsidRDefault="00727BBA">
      <w:r>
        <w:lastRenderedPageBreak/>
        <w:t xml:space="preserve">Donacije od pravnih i fizičkih osoba izvan općeg proračuna bilježe smanjenje od 72,7% u odnosu na isto izvještajno razdoblje prethodne godine i odnose se na donaciju koju je DV dobio od Turističke zajednice u svrhu sudjelovanja  odgojnih skupina na manifestaciji </w:t>
      </w:r>
      <w:proofErr w:type="spellStart"/>
      <w:r>
        <w:t>Svetonedeljski</w:t>
      </w:r>
      <w:proofErr w:type="spellEnd"/>
      <w:r>
        <w:t xml:space="preserve"> fašnik  a kod Grada se odnose na donacije fizičkih i pravnih osoba za priključak na javnu odvodnju, donacije zemljišta od strane fizičkih osoba te donacije jedne pravne osobe za kupnju sadnica drveća koje su posađene na području Grada. Prihodi od </w:t>
      </w:r>
      <w:proofErr w:type="spellStart"/>
      <w:r>
        <w:t>danacija</w:t>
      </w:r>
      <w:proofErr w:type="spellEnd"/>
      <w:r>
        <w:t>  bilježe smanjene uglavnom zbog manjih donacija zemljišta fizičkih osoba u odnosu na prethodnu godinu.</w:t>
      </w:r>
    </w:p>
    <w:p w14:paraId="6F044E3C" w14:textId="77777777" w:rsidR="009C6F8A" w:rsidRDefault="009C6F8A"/>
    <w:p w14:paraId="133A58DF" w14:textId="77777777" w:rsidR="009C6F8A" w:rsidRDefault="00727BB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7CA2D9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02D4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8563C5"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513CC7"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9591AE"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02B5EC"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0A065C" w14:textId="77777777" w:rsidR="009C6F8A" w:rsidRDefault="00727BBA">
            <w:pPr>
              <w:keepNext/>
              <w:keepLines/>
              <w:spacing w:after="0" w:line="240" w:lineRule="auto"/>
              <w:jc w:val="center"/>
            </w:pPr>
            <w:r>
              <w:rPr>
                <w:b/>
                <w:sz w:val="18"/>
              </w:rPr>
              <w:t>Indeks (%)</w:t>
            </w:r>
          </w:p>
        </w:tc>
      </w:tr>
      <w:tr w:rsidR="009C6F8A" w14:paraId="580EE84D" w14:textId="77777777">
        <w:tblPrEx>
          <w:tblCellMar>
            <w:top w:w="0" w:type="dxa"/>
            <w:bottom w:w="0" w:type="dxa"/>
          </w:tblCellMar>
        </w:tblPrEx>
        <w:trPr>
          <w:cantSplit/>
          <w:trHeight w:val="560"/>
        </w:trPr>
        <w:tc>
          <w:tcPr>
            <w:tcW w:w="700" w:type="dxa"/>
            <w:tcMar>
              <w:top w:w="0" w:type="dxa"/>
              <w:bottom w:w="0" w:type="dxa"/>
            </w:tcMar>
            <w:vAlign w:val="center"/>
          </w:tcPr>
          <w:p w14:paraId="0E793B0C" w14:textId="77777777" w:rsidR="009C6F8A" w:rsidRDefault="00727BBA">
            <w:pPr>
              <w:keepNext/>
              <w:keepLines/>
              <w:spacing w:after="0" w:line="240" w:lineRule="auto"/>
            </w:pPr>
            <w:r>
              <w:rPr>
                <w:sz w:val="18"/>
              </w:rPr>
              <w:t>681</w:t>
            </w:r>
          </w:p>
        </w:tc>
        <w:tc>
          <w:tcPr>
            <w:tcW w:w="3180" w:type="dxa"/>
            <w:tcMar>
              <w:top w:w="0" w:type="dxa"/>
              <w:bottom w:w="0" w:type="dxa"/>
            </w:tcMar>
            <w:vAlign w:val="center"/>
          </w:tcPr>
          <w:p w14:paraId="5BDAFDD2" w14:textId="77777777" w:rsidR="009C6F8A" w:rsidRDefault="00727BBA">
            <w:pPr>
              <w:keepNext/>
              <w:keepLines/>
              <w:spacing w:after="0" w:line="240" w:lineRule="auto"/>
            </w:pPr>
            <w:r>
              <w:rPr>
                <w:sz w:val="18"/>
              </w:rPr>
              <w:t>Kazne i upravne mjere (šifre 6811 do 6819)</w:t>
            </w:r>
          </w:p>
        </w:tc>
        <w:tc>
          <w:tcPr>
            <w:tcW w:w="700" w:type="dxa"/>
            <w:tcMar>
              <w:top w:w="0" w:type="dxa"/>
              <w:bottom w:w="0" w:type="dxa"/>
            </w:tcMar>
            <w:vAlign w:val="center"/>
          </w:tcPr>
          <w:p w14:paraId="7B483F8C" w14:textId="77777777" w:rsidR="009C6F8A" w:rsidRDefault="00727BBA">
            <w:pPr>
              <w:keepNext/>
              <w:keepLines/>
              <w:spacing w:after="0" w:line="240" w:lineRule="auto"/>
            </w:pPr>
            <w:r>
              <w:rPr>
                <w:sz w:val="18"/>
              </w:rPr>
              <w:t>681</w:t>
            </w:r>
          </w:p>
        </w:tc>
        <w:tc>
          <w:tcPr>
            <w:tcW w:w="1860" w:type="dxa"/>
            <w:tcMar>
              <w:top w:w="0" w:type="dxa"/>
              <w:bottom w:w="0" w:type="dxa"/>
            </w:tcMar>
            <w:vAlign w:val="center"/>
          </w:tcPr>
          <w:p w14:paraId="1DBACB08" w14:textId="77777777" w:rsidR="009C6F8A" w:rsidRDefault="00727BBA">
            <w:pPr>
              <w:keepNext/>
              <w:keepLines/>
              <w:spacing w:after="0" w:line="240" w:lineRule="auto"/>
              <w:jc w:val="right"/>
            </w:pPr>
            <w:r>
              <w:rPr>
                <w:sz w:val="18"/>
              </w:rPr>
              <w:t>14.547,02</w:t>
            </w:r>
          </w:p>
        </w:tc>
        <w:tc>
          <w:tcPr>
            <w:tcW w:w="1860" w:type="dxa"/>
            <w:tcMar>
              <w:top w:w="0" w:type="dxa"/>
              <w:bottom w:w="0" w:type="dxa"/>
            </w:tcMar>
            <w:vAlign w:val="center"/>
          </w:tcPr>
          <w:p w14:paraId="220BBE69" w14:textId="77777777" w:rsidR="009C6F8A" w:rsidRDefault="00727BBA">
            <w:pPr>
              <w:keepNext/>
              <w:keepLines/>
              <w:spacing w:after="0" w:line="240" w:lineRule="auto"/>
              <w:jc w:val="right"/>
            </w:pPr>
            <w:r>
              <w:rPr>
                <w:sz w:val="18"/>
              </w:rPr>
              <w:t>22.821,31</w:t>
            </w:r>
          </w:p>
        </w:tc>
        <w:tc>
          <w:tcPr>
            <w:tcW w:w="700" w:type="dxa"/>
            <w:tcMar>
              <w:top w:w="0" w:type="dxa"/>
              <w:bottom w:w="0" w:type="dxa"/>
            </w:tcMar>
            <w:vAlign w:val="center"/>
          </w:tcPr>
          <w:p w14:paraId="37948714" w14:textId="77777777" w:rsidR="009C6F8A" w:rsidRDefault="00727BBA">
            <w:pPr>
              <w:keepNext/>
              <w:keepLines/>
              <w:spacing w:after="0" w:line="240" w:lineRule="auto"/>
              <w:jc w:val="right"/>
            </w:pPr>
            <w:r>
              <w:rPr>
                <w:sz w:val="18"/>
              </w:rPr>
              <w:t>156,9</w:t>
            </w:r>
          </w:p>
        </w:tc>
      </w:tr>
    </w:tbl>
    <w:p w14:paraId="4EF2AA3D" w14:textId="77777777" w:rsidR="009C6F8A" w:rsidRDefault="009C6F8A">
      <w:pPr>
        <w:spacing w:after="0"/>
      </w:pPr>
    </w:p>
    <w:p w14:paraId="4E79BEF3" w14:textId="77777777" w:rsidR="009C6F8A" w:rsidRDefault="00727BBA">
      <w:r>
        <w:t>Kazne i upravne mjere bilježe povećanje od 56,9 % u odnosu na isto izvještajno razdoblje prošle godine zbog većeg prihoda od naplate kazni po Odluci o komunalnom redu.</w:t>
      </w:r>
    </w:p>
    <w:p w14:paraId="2F9F537C" w14:textId="77777777" w:rsidR="009C6F8A" w:rsidRDefault="009C6F8A"/>
    <w:p w14:paraId="0E528268" w14:textId="77777777" w:rsidR="009C6F8A" w:rsidRDefault="00727BB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1D24F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198C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E478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7B0C5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44615"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51788F"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8AD31F" w14:textId="77777777" w:rsidR="009C6F8A" w:rsidRDefault="00727BBA">
            <w:pPr>
              <w:keepNext/>
              <w:keepLines/>
              <w:spacing w:after="0" w:line="240" w:lineRule="auto"/>
              <w:jc w:val="center"/>
            </w:pPr>
            <w:r>
              <w:rPr>
                <w:b/>
                <w:sz w:val="18"/>
              </w:rPr>
              <w:t>Indeks (%)</w:t>
            </w:r>
          </w:p>
        </w:tc>
      </w:tr>
      <w:tr w:rsidR="009C6F8A" w14:paraId="21B21C70" w14:textId="77777777">
        <w:tblPrEx>
          <w:tblCellMar>
            <w:top w:w="0" w:type="dxa"/>
            <w:bottom w:w="0" w:type="dxa"/>
          </w:tblCellMar>
        </w:tblPrEx>
        <w:trPr>
          <w:cantSplit/>
          <w:trHeight w:val="560"/>
        </w:trPr>
        <w:tc>
          <w:tcPr>
            <w:tcW w:w="700" w:type="dxa"/>
            <w:tcMar>
              <w:top w:w="0" w:type="dxa"/>
              <w:bottom w:w="0" w:type="dxa"/>
            </w:tcMar>
            <w:vAlign w:val="center"/>
          </w:tcPr>
          <w:p w14:paraId="7C507D06" w14:textId="77777777" w:rsidR="009C6F8A" w:rsidRDefault="00727BBA">
            <w:pPr>
              <w:keepNext/>
              <w:keepLines/>
              <w:spacing w:after="0" w:line="240" w:lineRule="auto"/>
            </w:pPr>
            <w:r>
              <w:rPr>
                <w:sz w:val="18"/>
              </w:rPr>
              <w:t>683</w:t>
            </w:r>
          </w:p>
        </w:tc>
        <w:tc>
          <w:tcPr>
            <w:tcW w:w="3180" w:type="dxa"/>
            <w:tcMar>
              <w:top w:w="0" w:type="dxa"/>
              <w:bottom w:w="0" w:type="dxa"/>
            </w:tcMar>
            <w:vAlign w:val="center"/>
          </w:tcPr>
          <w:p w14:paraId="36D95827" w14:textId="77777777" w:rsidR="009C6F8A" w:rsidRDefault="00727BBA">
            <w:pPr>
              <w:keepNext/>
              <w:keepLines/>
              <w:spacing w:after="0" w:line="240" w:lineRule="auto"/>
            </w:pPr>
            <w:r>
              <w:rPr>
                <w:sz w:val="18"/>
              </w:rPr>
              <w:t>Ostali prihodi</w:t>
            </w:r>
          </w:p>
        </w:tc>
        <w:tc>
          <w:tcPr>
            <w:tcW w:w="700" w:type="dxa"/>
            <w:tcMar>
              <w:top w:w="0" w:type="dxa"/>
              <w:bottom w:w="0" w:type="dxa"/>
            </w:tcMar>
            <w:vAlign w:val="center"/>
          </w:tcPr>
          <w:p w14:paraId="4B179C38" w14:textId="77777777" w:rsidR="009C6F8A" w:rsidRDefault="00727BBA">
            <w:pPr>
              <w:keepNext/>
              <w:keepLines/>
              <w:spacing w:after="0" w:line="240" w:lineRule="auto"/>
            </w:pPr>
            <w:r>
              <w:rPr>
                <w:sz w:val="18"/>
              </w:rPr>
              <w:t>683</w:t>
            </w:r>
          </w:p>
        </w:tc>
        <w:tc>
          <w:tcPr>
            <w:tcW w:w="1860" w:type="dxa"/>
            <w:tcMar>
              <w:top w:w="0" w:type="dxa"/>
              <w:bottom w:w="0" w:type="dxa"/>
            </w:tcMar>
            <w:vAlign w:val="center"/>
          </w:tcPr>
          <w:p w14:paraId="63D0F831" w14:textId="77777777" w:rsidR="009C6F8A" w:rsidRDefault="00727BBA">
            <w:pPr>
              <w:keepNext/>
              <w:keepLines/>
              <w:spacing w:after="0" w:line="240" w:lineRule="auto"/>
              <w:jc w:val="right"/>
            </w:pPr>
            <w:r>
              <w:rPr>
                <w:sz w:val="18"/>
              </w:rPr>
              <w:t>134.351,83</w:t>
            </w:r>
          </w:p>
        </w:tc>
        <w:tc>
          <w:tcPr>
            <w:tcW w:w="1860" w:type="dxa"/>
            <w:tcMar>
              <w:top w:w="0" w:type="dxa"/>
              <w:bottom w:w="0" w:type="dxa"/>
            </w:tcMar>
            <w:vAlign w:val="center"/>
          </w:tcPr>
          <w:p w14:paraId="62CE668F" w14:textId="77777777" w:rsidR="009C6F8A" w:rsidRDefault="00727BBA">
            <w:pPr>
              <w:keepNext/>
              <w:keepLines/>
              <w:spacing w:after="0" w:line="240" w:lineRule="auto"/>
              <w:jc w:val="right"/>
            </w:pPr>
            <w:r>
              <w:rPr>
                <w:sz w:val="18"/>
              </w:rPr>
              <w:t>22.189,80</w:t>
            </w:r>
          </w:p>
        </w:tc>
        <w:tc>
          <w:tcPr>
            <w:tcW w:w="700" w:type="dxa"/>
            <w:tcMar>
              <w:top w:w="0" w:type="dxa"/>
              <w:bottom w:w="0" w:type="dxa"/>
            </w:tcMar>
            <w:vAlign w:val="center"/>
          </w:tcPr>
          <w:p w14:paraId="23417855" w14:textId="77777777" w:rsidR="009C6F8A" w:rsidRDefault="00727BBA">
            <w:pPr>
              <w:keepNext/>
              <w:keepLines/>
              <w:spacing w:after="0" w:line="240" w:lineRule="auto"/>
              <w:jc w:val="right"/>
            </w:pPr>
            <w:r>
              <w:rPr>
                <w:sz w:val="18"/>
              </w:rPr>
              <w:t>16,5</w:t>
            </w:r>
          </w:p>
        </w:tc>
      </w:tr>
    </w:tbl>
    <w:p w14:paraId="48F9BA12" w14:textId="77777777" w:rsidR="009C6F8A" w:rsidRDefault="009C6F8A">
      <w:pPr>
        <w:spacing w:after="0"/>
      </w:pPr>
    </w:p>
    <w:p w14:paraId="2F642606" w14:textId="77777777" w:rsidR="009C6F8A" w:rsidRDefault="00727BBA">
      <w:r>
        <w:t>Ostali prihodi bilježe smanjenje od 83,5% u odnosu na isto izvještajno razdoblje prošle godine i odnose se na naplatu raznih troškova postupaka (sudskih, prekršajnih i drugih) i prihoda od penala po jednom ugovoru . U 2024. godini je zbog neispunjenja ugovornih obveza od jedne pravne osobe naplaćen značajan iznos.</w:t>
      </w:r>
    </w:p>
    <w:p w14:paraId="301373B8" w14:textId="77777777" w:rsidR="009C6F8A" w:rsidRDefault="009C6F8A"/>
    <w:p w14:paraId="754B34E1" w14:textId="77777777" w:rsidR="009C6F8A" w:rsidRDefault="00727BB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E55C0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38902D"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FFF2AD"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DB90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7F3342"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DE20ED"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A1F58B" w14:textId="77777777" w:rsidR="009C6F8A" w:rsidRDefault="00727BBA">
            <w:pPr>
              <w:keepNext/>
              <w:keepLines/>
              <w:spacing w:after="0" w:line="240" w:lineRule="auto"/>
              <w:jc w:val="center"/>
            </w:pPr>
            <w:r>
              <w:rPr>
                <w:b/>
                <w:sz w:val="18"/>
              </w:rPr>
              <w:t>Indeks (%)</w:t>
            </w:r>
          </w:p>
        </w:tc>
      </w:tr>
      <w:tr w:rsidR="009C6F8A" w14:paraId="37F96F01" w14:textId="77777777">
        <w:tblPrEx>
          <w:tblCellMar>
            <w:top w:w="0" w:type="dxa"/>
            <w:bottom w:w="0" w:type="dxa"/>
          </w:tblCellMar>
        </w:tblPrEx>
        <w:trPr>
          <w:cantSplit/>
          <w:trHeight w:val="560"/>
        </w:trPr>
        <w:tc>
          <w:tcPr>
            <w:tcW w:w="700" w:type="dxa"/>
            <w:tcMar>
              <w:top w:w="0" w:type="dxa"/>
              <w:bottom w:w="0" w:type="dxa"/>
            </w:tcMar>
            <w:vAlign w:val="center"/>
          </w:tcPr>
          <w:p w14:paraId="4AC0CA8F" w14:textId="77777777" w:rsidR="009C6F8A" w:rsidRDefault="00727BBA">
            <w:pPr>
              <w:keepNext/>
              <w:keepLines/>
              <w:spacing w:after="0" w:line="240" w:lineRule="auto"/>
            </w:pPr>
            <w:r>
              <w:rPr>
                <w:sz w:val="18"/>
              </w:rPr>
              <w:t>311</w:t>
            </w:r>
          </w:p>
        </w:tc>
        <w:tc>
          <w:tcPr>
            <w:tcW w:w="3180" w:type="dxa"/>
            <w:tcMar>
              <w:top w:w="0" w:type="dxa"/>
              <w:bottom w:w="0" w:type="dxa"/>
            </w:tcMar>
            <w:vAlign w:val="center"/>
          </w:tcPr>
          <w:p w14:paraId="61279A93" w14:textId="77777777" w:rsidR="009C6F8A" w:rsidRDefault="00727BBA">
            <w:pPr>
              <w:keepNext/>
              <w:keepLines/>
              <w:spacing w:after="0" w:line="240" w:lineRule="auto"/>
            </w:pPr>
            <w:r>
              <w:rPr>
                <w:sz w:val="18"/>
              </w:rPr>
              <w:t>Plaće (bruto) (šifre 3111 do 3114)</w:t>
            </w:r>
          </w:p>
        </w:tc>
        <w:tc>
          <w:tcPr>
            <w:tcW w:w="700" w:type="dxa"/>
            <w:tcMar>
              <w:top w:w="0" w:type="dxa"/>
              <w:bottom w:w="0" w:type="dxa"/>
            </w:tcMar>
            <w:vAlign w:val="center"/>
          </w:tcPr>
          <w:p w14:paraId="4761F64F" w14:textId="77777777" w:rsidR="009C6F8A" w:rsidRDefault="00727BBA">
            <w:pPr>
              <w:keepNext/>
              <w:keepLines/>
              <w:spacing w:after="0" w:line="240" w:lineRule="auto"/>
            </w:pPr>
            <w:r>
              <w:rPr>
                <w:sz w:val="18"/>
              </w:rPr>
              <w:t>311</w:t>
            </w:r>
          </w:p>
        </w:tc>
        <w:tc>
          <w:tcPr>
            <w:tcW w:w="1860" w:type="dxa"/>
            <w:tcMar>
              <w:top w:w="0" w:type="dxa"/>
              <w:bottom w:w="0" w:type="dxa"/>
            </w:tcMar>
            <w:vAlign w:val="center"/>
          </w:tcPr>
          <w:p w14:paraId="143306AC" w14:textId="77777777" w:rsidR="009C6F8A" w:rsidRDefault="00727BBA">
            <w:pPr>
              <w:keepNext/>
              <w:keepLines/>
              <w:spacing w:after="0" w:line="240" w:lineRule="auto"/>
              <w:jc w:val="right"/>
            </w:pPr>
            <w:r>
              <w:rPr>
                <w:sz w:val="18"/>
              </w:rPr>
              <w:t>2.841.253,66</w:t>
            </w:r>
          </w:p>
        </w:tc>
        <w:tc>
          <w:tcPr>
            <w:tcW w:w="1860" w:type="dxa"/>
            <w:tcMar>
              <w:top w:w="0" w:type="dxa"/>
              <w:bottom w:w="0" w:type="dxa"/>
            </w:tcMar>
            <w:vAlign w:val="center"/>
          </w:tcPr>
          <w:p w14:paraId="0493C363" w14:textId="77777777" w:rsidR="009C6F8A" w:rsidRDefault="00727BBA">
            <w:pPr>
              <w:keepNext/>
              <w:keepLines/>
              <w:spacing w:after="0" w:line="240" w:lineRule="auto"/>
              <w:jc w:val="right"/>
            </w:pPr>
            <w:r>
              <w:rPr>
                <w:sz w:val="18"/>
              </w:rPr>
              <w:t>4.595.567,20</w:t>
            </w:r>
          </w:p>
        </w:tc>
        <w:tc>
          <w:tcPr>
            <w:tcW w:w="700" w:type="dxa"/>
            <w:tcMar>
              <w:top w:w="0" w:type="dxa"/>
              <w:bottom w:w="0" w:type="dxa"/>
            </w:tcMar>
            <w:vAlign w:val="center"/>
          </w:tcPr>
          <w:p w14:paraId="33BB6AB5" w14:textId="77777777" w:rsidR="009C6F8A" w:rsidRDefault="00727BBA">
            <w:pPr>
              <w:keepNext/>
              <w:keepLines/>
              <w:spacing w:after="0" w:line="240" w:lineRule="auto"/>
              <w:jc w:val="right"/>
            </w:pPr>
            <w:r>
              <w:rPr>
                <w:sz w:val="18"/>
              </w:rPr>
              <w:t>161,7</w:t>
            </w:r>
          </w:p>
        </w:tc>
      </w:tr>
    </w:tbl>
    <w:p w14:paraId="77245D9D" w14:textId="77777777" w:rsidR="009C6F8A" w:rsidRDefault="009C6F8A">
      <w:pPr>
        <w:spacing w:after="0"/>
      </w:pPr>
    </w:p>
    <w:p w14:paraId="49285196" w14:textId="77777777" w:rsidR="009C6F8A" w:rsidRDefault="00727BBA">
      <w:r>
        <w:t xml:space="preserve">U  izvještajnom razdoblju 2025. godine plaće su veće za 61,7% u odnosu na isto izvještajno razdoblje prethodne godine jer su kod Grada povećani </w:t>
      </w:r>
      <w:proofErr w:type="spellStart"/>
      <w:r>
        <w:t>koeficijenati</w:t>
      </w:r>
      <w:proofErr w:type="spellEnd"/>
      <w:r>
        <w:t xml:space="preserve"> za obračun plaća ( u svibnju 2024) i povećana je  osnovica u srpnju 2025. godine te je znatno veći iznos </w:t>
      </w:r>
      <w:r>
        <w:lastRenderedPageBreak/>
        <w:t>prekovremenog rada. Kod oba proračunska korisnika povećanje se odnosi na veće rashode zbog povećanja osnovice i većih rashoda za prekovremeni rad. </w:t>
      </w:r>
    </w:p>
    <w:p w14:paraId="2ACEC395" w14:textId="77777777" w:rsidR="009C6F8A" w:rsidRDefault="009C6F8A"/>
    <w:p w14:paraId="5931E7AB" w14:textId="77777777" w:rsidR="009C6F8A" w:rsidRDefault="00727BB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CEE51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91825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41D057"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29529"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133F7"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B35E0C"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BF1F7" w14:textId="77777777" w:rsidR="009C6F8A" w:rsidRDefault="00727BBA">
            <w:pPr>
              <w:keepNext/>
              <w:keepLines/>
              <w:spacing w:after="0" w:line="240" w:lineRule="auto"/>
              <w:jc w:val="center"/>
            </w:pPr>
            <w:r>
              <w:rPr>
                <w:b/>
                <w:sz w:val="18"/>
              </w:rPr>
              <w:t>Indeks (%)</w:t>
            </w:r>
          </w:p>
        </w:tc>
      </w:tr>
      <w:tr w:rsidR="009C6F8A" w14:paraId="16904F88" w14:textId="77777777">
        <w:tblPrEx>
          <w:tblCellMar>
            <w:top w:w="0" w:type="dxa"/>
            <w:bottom w:w="0" w:type="dxa"/>
          </w:tblCellMar>
        </w:tblPrEx>
        <w:trPr>
          <w:cantSplit/>
          <w:trHeight w:val="560"/>
        </w:trPr>
        <w:tc>
          <w:tcPr>
            <w:tcW w:w="700" w:type="dxa"/>
            <w:tcMar>
              <w:top w:w="0" w:type="dxa"/>
              <w:bottom w:w="0" w:type="dxa"/>
            </w:tcMar>
            <w:vAlign w:val="center"/>
          </w:tcPr>
          <w:p w14:paraId="4DA9E0AE" w14:textId="77777777" w:rsidR="009C6F8A" w:rsidRDefault="00727BBA">
            <w:pPr>
              <w:keepNext/>
              <w:keepLines/>
              <w:spacing w:after="0" w:line="240" w:lineRule="auto"/>
            </w:pPr>
            <w:r>
              <w:rPr>
                <w:sz w:val="18"/>
              </w:rPr>
              <w:t>312</w:t>
            </w:r>
          </w:p>
        </w:tc>
        <w:tc>
          <w:tcPr>
            <w:tcW w:w="3180" w:type="dxa"/>
            <w:tcMar>
              <w:top w:w="0" w:type="dxa"/>
              <w:bottom w:w="0" w:type="dxa"/>
            </w:tcMar>
            <w:vAlign w:val="center"/>
          </w:tcPr>
          <w:p w14:paraId="091D60AF" w14:textId="77777777" w:rsidR="009C6F8A" w:rsidRDefault="00727BBA">
            <w:pPr>
              <w:keepNext/>
              <w:keepLines/>
              <w:spacing w:after="0" w:line="240" w:lineRule="auto"/>
            </w:pPr>
            <w:r>
              <w:rPr>
                <w:sz w:val="18"/>
              </w:rPr>
              <w:t>Ostali rashodi za zaposlene</w:t>
            </w:r>
          </w:p>
        </w:tc>
        <w:tc>
          <w:tcPr>
            <w:tcW w:w="700" w:type="dxa"/>
            <w:tcMar>
              <w:top w:w="0" w:type="dxa"/>
              <w:bottom w:w="0" w:type="dxa"/>
            </w:tcMar>
            <w:vAlign w:val="center"/>
          </w:tcPr>
          <w:p w14:paraId="4712DB83" w14:textId="77777777" w:rsidR="009C6F8A" w:rsidRDefault="00727BBA">
            <w:pPr>
              <w:keepNext/>
              <w:keepLines/>
              <w:spacing w:after="0" w:line="240" w:lineRule="auto"/>
            </w:pPr>
            <w:r>
              <w:rPr>
                <w:sz w:val="18"/>
              </w:rPr>
              <w:t>312</w:t>
            </w:r>
          </w:p>
        </w:tc>
        <w:tc>
          <w:tcPr>
            <w:tcW w:w="1860" w:type="dxa"/>
            <w:tcMar>
              <w:top w:w="0" w:type="dxa"/>
              <w:bottom w:w="0" w:type="dxa"/>
            </w:tcMar>
            <w:vAlign w:val="center"/>
          </w:tcPr>
          <w:p w14:paraId="397C046F" w14:textId="77777777" w:rsidR="009C6F8A" w:rsidRDefault="00727BBA">
            <w:pPr>
              <w:keepNext/>
              <w:keepLines/>
              <w:spacing w:after="0" w:line="240" w:lineRule="auto"/>
              <w:jc w:val="right"/>
            </w:pPr>
            <w:r>
              <w:rPr>
                <w:sz w:val="18"/>
              </w:rPr>
              <w:t>393.841,25</w:t>
            </w:r>
          </w:p>
        </w:tc>
        <w:tc>
          <w:tcPr>
            <w:tcW w:w="1860" w:type="dxa"/>
            <w:tcMar>
              <w:top w:w="0" w:type="dxa"/>
              <w:bottom w:w="0" w:type="dxa"/>
            </w:tcMar>
            <w:vAlign w:val="center"/>
          </w:tcPr>
          <w:p w14:paraId="65C2F9FA" w14:textId="77777777" w:rsidR="009C6F8A" w:rsidRDefault="00727BBA">
            <w:pPr>
              <w:keepNext/>
              <w:keepLines/>
              <w:spacing w:after="0" w:line="240" w:lineRule="auto"/>
              <w:jc w:val="right"/>
            </w:pPr>
            <w:r>
              <w:rPr>
                <w:sz w:val="18"/>
              </w:rPr>
              <w:t>494.021,16</w:t>
            </w:r>
          </w:p>
        </w:tc>
        <w:tc>
          <w:tcPr>
            <w:tcW w:w="700" w:type="dxa"/>
            <w:tcMar>
              <w:top w:w="0" w:type="dxa"/>
              <w:bottom w:w="0" w:type="dxa"/>
            </w:tcMar>
            <w:vAlign w:val="center"/>
          </w:tcPr>
          <w:p w14:paraId="03FCDBFE" w14:textId="77777777" w:rsidR="009C6F8A" w:rsidRDefault="00727BBA">
            <w:pPr>
              <w:keepNext/>
              <w:keepLines/>
              <w:spacing w:after="0" w:line="240" w:lineRule="auto"/>
              <w:jc w:val="right"/>
            </w:pPr>
            <w:r>
              <w:rPr>
                <w:sz w:val="18"/>
              </w:rPr>
              <w:t>125,4</w:t>
            </w:r>
          </w:p>
        </w:tc>
      </w:tr>
    </w:tbl>
    <w:p w14:paraId="3947C6FC" w14:textId="77777777" w:rsidR="009C6F8A" w:rsidRDefault="009C6F8A">
      <w:pPr>
        <w:spacing w:after="0"/>
      </w:pPr>
    </w:p>
    <w:p w14:paraId="11A97C54" w14:textId="77777777" w:rsidR="009C6F8A" w:rsidRDefault="00727BBA">
      <w:r>
        <w:t xml:space="preserve">Ostali rashodi za zaposlene bilježe povećanje od 25,4% uglavnom zbog </w:t>
      </w:r>
      <w:proofErr w:type="spellStart"/>
      <w:r>
        <w:t>povaćanja</w:t>
      </w:r>
      <w:proofErr w:type="spellEnd"/>
      <w:r>
        <w:t xml:space="preserve"> rashoda DV Slavuj.</w:t>
      </w:r>
    </w:p>
    <w:p w14:paraId="2E1360A2" w14:textId="77777777" w:rsidR="009C6F8A" w:rsidRDefault="009C6F8A"/>
    <w:p w14:paraId="386EF095" w14:textId="77777777" w:rsidR="009C6F8A" w:rsidRDefault="00727BB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6E3F0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1053C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AD65A"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AE2B76"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635F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043DB"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07F236" w14:textId="77777777" w:rsidR="009C6F8A" w:rsidRDefault="00727BBA">
            <w:pPr>
              <w:keepNext/>
              <w:keepLines/>
              <w:spacing w:after="0" w:line="240" w:lineRule="auto"/>
              <w:jc w:val="center"/>
            </w:pPr>
            <w:r>
              <w:rPr>
                <w:b/>
                <w:sz w:val="18"/>
              </w:rPr>
              <w:t>Indeks (%)</w:t>
            </w:r>
          </w:p>
        </w:tc>
      </w:tr>
      <w:tr w:rsidR="009C6F8A" w14:paraId="0D2E723F" w14:textId="77777777">
        <w:tblPrEx>
          <w:tblCellMar>
            <w:top w:w="0" w:type="dxa"/>
            <w:bottom w:w="0" w:type="dxa"/>
          </w:tblCellMar>
        </w:tblPrEx>
        <w:trPr>
          <w:cantSplit/>
          <w:trHeight w:val="560"/>
        </w:trPr>
        <w:tc>
          <w:tcPr>
            <w:tcW w:w="700" w:type="dxa"/>
            <w:tcMar>
              <w:top w:w="0" w:type="dxa"/>
              <w:bottom w:w="0" w:type="dxa"/>
            </w:tcMar>
            <w:vAlign w:val="center"/>
          </w:tcPr>
          <w:p w14:paraId="51946493" w14:textId="77777777" w:rsidR="009C6F8A" w:rsidRDefault="00727BBA">
            <w:pPr>
              <w:keepNext/>
              <w:keepLines/>
              <w:spacing w:after="0" w:line="240" w:lineRule="auto"/>
            </w:pPr>
            <w:r>
              <w:rPr>
                <w:sz w:val="18"/>
              </w:rPr>
              <w:t>321</w:t>
            </w:r>
          </w:p>
        </w:tc>
        <w:tc>
          <w:tcPr>
            <w:tcW w:w="3180" w:type="dxa"/>
            <w:tcMar>
              <w:top w:w="0" w:type="dxa"/>
              <w:bottom w:w="0" w:type="dxa"/>
            </w:tcMar>
            <w:vAlign w:val="center"/>
          </w:tcPr>
          <w:p w14:paraId="44E34BCB" w14:textId="77777777" w:rsidR="009C6F8A" w:rsidRDefault="00727BBA">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5EDF9644" w14:textId="77777777" w:rsidR="009C6F8A" w:rsidRDefault="00727BBA">
            <w:pPr>
              <w:keepNext/>
              <w:keepLines/>
              <w:spacing w:after="0" w:line="240" w:lineRule="auto"/>
            </w:pPr>
            <w:r>
              <w:rPr>
                <w:sz w:val="18"/>
              </w:rPr>
              <w:t>321</w:t>
            </w:r>
          </w:p>
        </w:tc>
        <w:tc>
          <w:tcPr>
            <w:tcW w:w="1860" w:type="dxa"/>
            <w:tcMar>
              <w:top w:w="0" w:type="dxa"/>
              <w:bottom w:w="0" w:type="dxa"/>
            </w:tcMar>
            <w:vAlign w:val="center"/>
          </w:tcPr>
          <w:p w14:paraId="4294A1A5" w14:textId="77777777" w:rsidR="009C6F8A" w:rsidRDefault="00727BBA">
            <w:pPr>
              <w:keepNext/>
              <w:keepLines/>
              <w:spacing w:after="0" w:line="240" w:lineRule="auto"/>
              <w:jc w:val="right"/>
            </w:pPr>
            <w:r>
              <w:rPr>
                <w:sz w:val="18"/>
              </w:rPr>
              <w:t>133.709,97</w:t>
            </w:r>
          </w:p>
        </w:tc>
        <w:tc>
          <w:tcPr>
            <w:tcW w:w="1860" w:type="dxa"/>
            <w:tcMar>
              <w:top w:w="0" w:type="dxa"/>
              <w:bottom w:w="0" w:type="dxa"/>
            </w:tcMar>
            <w:vAlign w:val="center"/>
          </w:tcPr>
          <w:p w14:paraId="5B0A02D8" w14:textId="77777777" w:rsidR="009C6F8A" w:rsidRDefault="00727BBA">
            <w:pPr>
              <w:keepNext/>
              <w:keepLines/>
              <w:spacing w:after="0" w:line="240" w:lineRule="auto"/>
              <w:jc w:val="right"/>
            </w:pPr>
            <w:r>
              <w:rPr>
                <w:sz w:val="18"/>
              </w:rPr>
              <w:t>213.035,21</w:t>
            </w:r>
          </w:p>
        </w:tc>
        <w:tc>
          <w:tcPr>
            <w:tcW w:w="700" w:type="dxa"/>
            <w:tcMar>
              <w:top w:w="0" w:type="dxa"/>
              <w:bottom w:w="0" w:type="dxa"/>
            </w:tcMar>
            <w:vAlign w:val="center"/>
          </w:tcPr>
          <w:p w14:paraId="2A1BF262" w14:textId="77777777" w:rsidR="009C6F8A" w:rsidRDefault="00727BBA">
            <w:pPr>
              <w:keepNext/>
              <w:keepLines/>
              <w:spacing w:after="0" w:line="240" w:lineRule="auto"/>
              <w:jc w:val="right"/>
            </w:pPr>
            <w:r>
              <w:rPr>
                <w:sz w:val="18"/>
              </w:rPr>
              <w:t>159,3</w:t>
            </w:r>
          </w:p>
        </w:tc>
      </w:tr>
    </w:tbl>
    <w:p w14:paraId="49E189CB" w14:textId="77777777" w:rsidR="009C6F8A" w:rsidRDefault="009C6F8A">
      <w:pPr>
        <w:spacing w:after="0"/>
      </w:pPr>
    </w:p>
    <w:p w14:paraId="6C6FFF58" w14:textId="77777777" w:rsidR="009C6F8A" w:rsidRDefault="00727BBA">
      <w:r>
        <w:t>Naknade troškova zaposlenima su veće za 59,3% u odnosu na isto izvještajno razdoblje prošle godine i to kod Grada zbog većih rashoda za službena putovanja, naknade za prijevoz i stručno usavršavanje zaposlenika  i kod  DV Slavuj zbog većih rashoda za službena putovanja, naknade za prijevoz i stručno usavršavanje zaposlenika.</w:t>
      </w:r>
    </w:p>
    <w:p w14:paraId="1FA3C191" w14:textId="77777777" w:rsidR="009C6F8A" w:rsidRDefault="009C6F8A"/>
    <w:p w14:paraId="68458F0C" w14:textId="77777777" w:rsidR="009C6F8A" w:rsidRDefault="00727BB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F44C0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8DA21D"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911BD0"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E4B5E7"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359BA"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36033F"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75716" w14:textId="77777777" w:rsidR="009C6F8A" w:rsidRDefault="00727BBA">
            <w:pPr>
              <w:keepNext/>
              <w:keepLines/>
              <w:spacing w:after="0" w:line="240" w:lineRule="auto"/>
              <w:jc w:val="center"/>
            </w:pPr>
            <w:r>
              <w:rPr>
                <w:b/>
                <w:sz w:val="18"/>
              </w:rPr>
              <w:t>Indeks (%)</w:t>
            </w:r>
          </w:p>
        </w:tc>
      </w:tr>
      <w:tr w:rsidR="009C6F8A" w14:paraId="20CCF605" w14:textId="77777777">
        <w:tblPrEx>
          <w:tblCellMar>
            <w:top w:w="0" w:type="dxa"/>
            <w:bottom w:w="0" w:type="dxa"/>
          </w:tblCellMar>
        </w:tblPrEx>
        <w:trPr>
          <w:cantSplit/>
          <w:trHeight w:val="560"/>
        </w:trPr>
        <w:tc>
          <w:tcPr>
            <w:tcW w:w="700" w:type="dxa"/>
            <w:tcMar>
              <w:top w:w="0" w:type="dxa"/>
              <w:bottom w:w="0" w:type="dxa"/>
            </w:tcMar>
            <w:vAlign w:val="center"/>
          </w:tcPr>
          <w:p w14:paraId="3B9DDD70" w14:textId="77777777" w:rsidR="009C6F8A" w:rsidRDefault="00727BBA">
            <w:pPr>
              <w:keepNext/>
              <w:keepLines/>
              <w:spacing w:after="0" w:line="240" w:lineRule="auto"/>
            </w:pPr>
            <w:r>
              <w:rPr>
                <w:sz w:val="18"/>
              </w:rPr>
              <w:t>322</w:t>
            </w:r>
          </w:p>
        </w:tc>
        <w:tc>
          <w:tcPr>
            <w:tcW w:w="3180" w:type="dxa"/>
            <w:tcMar>
              <w:top w:w="0" w:type="dxa"/>
              <w:bottom w:w="0" w:type="dxa"/>
            </w:tcMar>
            <w:vAlign w:val="center"/>
          </w:tcPr>
          <w:p w14:paraId="3244F784" w14:textId="77777777" w:rsidR="009C6F8A" w:rsidRDefault="00727BBA">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AD85706" w14:textId="77777777" w:rsidR="009C6F8A" w:rsidRDefault="00727BBA">
            <w:pPr>
              <w:keepNext/>
              <w:keepLines/>
              <w:spacing w:after="0" w:line="240" w:lineRule="auto"/>
            </w:pPr>
            <w:r>
              <w:rPr>
                <w:sz w:val="18"/>
              </w:rPr>
              <w:t>322</w:t>
            </w:r>
          </w:p>
        </w:tc>
        <w:tc>
          <w:tcPr>
            <w:tcW w:w="1860" w:type="dxa"/>
            <w:tcMar>
              <w:top w:w="0" w:type="dxa"/>
              <w:bottom w:w="0" w:type="dxa"/>
            </w:tcMar>
            <w:vAlign w:val="center"/>
          </w:tcPr>
          <w:p w14:paraId="788F535F" w14:textId="77777777" w:rsidR="009C6F8A" w:rsidRDefault="00727BBA">
            <w:pPr>
              <w:keepNext/>
              <w:keepLines/>
              <w:spacing w:after="0" w:line="240" w:lineRule="auto"/>
              <w:jc w:val="right"/>
            </w:pPr>
            <w:r>
              <w:rPr>
                <w:sz w:val="18"/>
              </w:rPr>
              <w:t>714.346,54</w:t>
            </w:r>
          </w:p>
        </w:tc>
        <w:tc>
          <w:tcPr>
            <w:tcW w:w="1860" w:type="dxa"/>
            <w:tcMar>
              <w:top w:w="0" w:type="dxa"/>
              <w:bottom w:w="0" w:type="dxa"/>
            </w:tcMar>
            <w:vAlign w:val="center"/>
          </w:tcPr>
          <w:p w14:paraId="2D7E6DAE" w14:textId="77777777" w:rsidR="009C6F8A" w:rsidRDefault="00727BBA">
            <w:pPr>
              <w:keepNext/>
              <w:keepLines/>
              <w:spacing w:after="0" w:line="240" w:lineRule="auto"/>
              <w:jc w:val="right"/>
            </w:pPr>
            <w:r>
              <w:rPr>
                <w:sz w:val="18"/>
              </w:rPr>
              <w:t>861.479,95</w:t>
            </w:r>
          </w:p>
        </w:tc>
        <w:tc>
          <w:tcPr>
            <w:tcW w:w="700" w:type="dxa"/>
            <w:tcMar>
              <w:top w:w="0" w:type="dxa"/>
              <w:bottom w:w="0" w:type="dxa"/>
            </w:tcMar>
            <w:vAlign w:val="center"/>
          </w:tcPr>
          <w:p w14:paraId="664283F3" w14:textId="77777777" w:rsidR="009C6F8A" w:rsidRDefault="00727BBA">
            <w:pPr>
              <w:keepNext/>
              <w:keepLines/>
              <w:spacing w:after="0" w:line="240" w:lineRule="auto"/>
              <w:jc w:val="right"/>
            </w:pPr>
            <w:r>
              <w:rPr>
                <w:sz w:val="18"/>
              </w:rPr>
              <w:t>120,6</w:t>
            </w:r>
          </w:p>
        </w:tc>
      </w:tr>
    </w:tbl>
    <w:p w14:paraId="7206D124" w14:textId="77777777" w:rsidR="009C6F8A" w:rsidRDefault="009C6F8A">
      <w:pPr>
        <w:spacing w:after="0"/>
      </w:pPr>
    </w:p>
    <w:p w14:paraId="0A923C2E" w14:textId="77777777" w:rsidR="009C6F8A" w:rsidRDefault="00727BBA">
      <w:r>
        <w:t>Rashodi za materijal i energiju bilježe povećanje od 20,6 % i to zbog povećanja rashoda kod oba proračunska korisnika. Kod DV Slavuj  povećanje je na svim rashodima ove skupine a kod Knjižnice Mihaela Šiloboda povećanja rashoda se odnosi na rashode za  uredski materijal i ostale materijalne rashode.</w:t>
      </w:r>
    </w:p>
    <w:p w14:paraId="271B6BFB" w14:textId="77777777" w:rsidR="009C6F8A" w:rsidRDefault="00727BBA">
      <w:r>
        <w:t> </w:t>
      </w:r>
    </w:p>
    <w:p w14:paraId="620A49A8" w14:textId="77777777" w:rsidR="009C6F8A" w:rsidRDefault="00727BBA">
      <w:r>
        <w:t> </w:t>
      </w:r>
    </w:p>
    <w:p w14:paraId="3FB8AB31" w14:textId="77777777" w:rsidR="009C6F8A" w:rsidRDefault="009C6F8A"/>
    <w:p w14:paraId="2A8C45A1" w14:textId="77777777" w:rsidR="009C6F8A" w:rsidRDefault="00727BBA">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0551B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7E842"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7623B6"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4E10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87559"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3AA196"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5D18E" w14:textId="77777777" w:rsidR="009C6F8A" w:rsidRDefault="00727BBA">
            <w:pPr>
              <w:keepNext/>
              <w:keepLines/>
              <w:spacing w:after="0" w:line="240" w:lineRule="auto"/>
              <w:jc w:val="center"/>
            </w:pPr>
            <w:r>
              <w:rPr>
                <w:b/>
                <w:sz w:val="18"/>
              </w:rPr>
              <w:t>Indeks (%)</w:t>
            </w:r>
          </w:p>
        </w:tc>
      </w:tr>
      <w:tr w:rsidR="009C6F8A" w14:paraId="4AE7ABA5" w14:textId="77777777">
        <w:tblPrEx>
          <w:tblCellMar>
            <w:top w:w="0" w:type="dxa"/>
            <w:bottom w:w="0" w:type="dxa"/>
          </w:tblCellMar>
        </w:tblPrEx>
        <w:trPr>
          <w:cantSplit/>
          <w:trHeight w:val="560"/>
        </w:trPr>
        <w:tc>
          <w:tcPr>
            <w:tcW w:w="700" w:type="dxa"/>
            <w:tcMar>
              <w:top w:w="0" w:type="dxa"/>
              <w:bottom w:w="0" w:type="dxa"/>
            </w:tcMar>
            <w:vAlign w:val="center"/>
          </w:tcPr>
          <w:p w14:paraId="7BFFE748" w14:textId="77777777" w:rsidR="009C6F8A" w:rsidRDefault="00727BBA">
            <w:pPr>
              <w:keepNext/>
              <w:keepLines/>
              <w:spacing w:after="0" w:line="240" w:lineRule="auto"/>
            </w:pPr>
            <w:r>
              <w:rPr>
                <w:sz w:val="18"/>
              </w:rPr>
              <w:t>342</w:t>
            </w:r>
          </w:p>
        </w:tc>
        <w:tc>
          <w:tcPr>
            <w:tcW w:w="3180" w:type="dxa"/>
            <w:tcMar>
              <w:top w:w="0" w:type="dxa"/>
              <w:bottom w:w="0" w:type="dxa"/>
            </w:tcMar>
            <w:vAlign w:val="center"/>
          </w:tcPr>
          <w:p w14:paraId="2358AADF" w14:textId="77777777" w:rsidR="009C6F8A" w:rsidRDefault="00727BBA">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1B9FEE47" w14:textId="77777777" w:rsidR="009C6F8A" w:rsidRDefault="00727BBA">
            <w:pPr>
              <w:keepNext/>
              <w:keepLines/>
              <w:spacing w:after="0" w:line="240" w:lineRule="auto"/>
            </w:pPr>
            <w:r>
              <w:rPr>
                <w:sz w:val="18"/>
              </w:rPr>
              <w:t>342</w:t>
            </w:r>
          </w:p>
        </w:tc>
        <w:tc>
          <w:tcPr>
            <w:tcW w:w="1860" w:type="dxa"/>
            <w:tcMar>
              <w:top w:w="0" w:type="dxa"/>
              <w:bottom w:w="0" w:type="dxa"/>
            </w:tcMar>
            <w:vAlign w:val="center"/>
          </w:tcPr>
          <w:p w14:paraId="6184D549" w14:textId="77777777" w:rsidR="009C6F8A" w:rsidRDefault="00727BBA">
            <w:pPr>
              <w:keepNext/>
              <w:keepLines/>
              <w:spacing w:after="0" w:line="240" w:lineRule="auto"/>
              <w:jc w:val="right"/>
            </w:pPr>
            <w:r>
              <w:rPr>
                <w:sz w:val="18"/>
              </w:rPr>
              <w:t>61.482,18</w:t>
            </w:r>
          </w:p>
        </w:tc>
        <w:tc>
          <w:tcPr>
            <w:tcW w:w="1860" w:type="dxa"/>
            <w:tcMar>
              <w:top w:w="0" w:type="dxa"/>
              <w:bottom w:w="0" w:type="dxa"/>
            </w:tcMar>
            <w:vAlign w:val="center"/>
          </w:tcPr>
          <w:p w14:paraId="3FF733E7" w14:textId="77777777" w:rsidR="009C6F8A" w:rsidRDefault="00727BBA">
            <w:pPr>
              <w:keepNext/>
              <w:keepLines/>
              <w:spacing w:after="0" w:line="240" w:lineRule="auto"/>
              <w:jc w:val="right"/>
            </w:pPr>
            <w:r>
              <w:rPr>
                <w:sz w:val="18"/>
              </w:rPr>
              <w:t>117.291,73</w:t>
            </w:r>
          </w:p>
        </w:tc>
        <w:tc>
          <w:tcPr>
            <w:tcW w:w="700" w:type="dxa"/>
            <w:tcMar>
              <w:top w:w="0" w:type="dxa"/>
              <w:bottom w:w="0" w:type="dxa"/>
            </w:tcMar>
            <w:vAlign w:val="center"/>
          </w:tcPr>
          <w:p w14:paraId="098EEB5B" w14:textId="77777777" w:rsidR="009C6F8A" w:rsidRDefault="00727BBA">
            <w:pPr>
              <w:keepNext/>
              <w:keepLines/>
              <w:spacing w:after="0" w:line="240" w:lineRule="auto"/>
              <w:jc w:val="right"/>
            </w:pPr>
            <w:r>
              <w:rPr>
                <w:sz w:val="18"/>
              </w:rPr>
              <w:t>190,8</w:t>
            </w:r>
          </w:p>
        </w:tc>
      </w:tr>
    </w:tbl>
    <w:p w14:paraId="34B0AB83" w14:textId="77777777" w:rsidR="009C6F8A" w:rsidRDefault="009C6F8A">
      <w:pPr>
        <w:spacing w:after="0"/>
      </w:pPr>
    </w:p>
    <w:p w14:paraId="78B0A0DF" w14:textId="77777777" w:rsidR="009C6F8A" w:rsidRDefault="00727BBA">
      <w:r>
        <w:t xml:space="preserve">Kamate za primljene kredite i zajmove bilježe povećanje  od 90,80%  u odnosu na isto izvještajno razdoblje prošle godine. U izvještajnom razdoblju plaćale su se redovne kamate po  kreditu za gradnju OŠ Strmec  i veće </w:t>
      </w:r>
      <w:proofErr w:type="spellStart"/>
      <w:r>
        <w:t>interkalarne</w:t>
      </w:r>
      <w:proofErr w:type="spellEnd"/>
      <w:r>
        <w:t xml:space="preserve"> kamate po kreditu za gradnju sportske  dvorane u Kerestincu dok su se u 2024. godini uglavnom odnosile na redovne kamate po kreditu za gradnju OŠ Strmec.</w:t>
      </w:r>
    </w:p>
    <w:p w14:paraId="2B187483" w14:textId="77777777" w:rsidR="009C6F8A" w:rsidRDefault="009C6F8A"/>
    <w:p w14:paraId="643A95D6" w14:textId="77777777" w:rsidR="009C6F8A" w:rsidRDefault="00727BB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78D4F9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932130"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6CFE3C"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22ECC"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AA0A46"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58E1D1"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DBF1B9" w14:textId="77777777" w:rsidR="009C6F8A" w:rsidRDefault="00727BBA">
            <w:pPr>
              <w:keepNext/>
              <w:keepLines/>
              <w:spacing w:after="0" w:line="240" w:lineRule="auto"/>
              <w:jc w:val="center"/>
            </w:pPr>
            <w:r>
              <w:rPr>
                <w:b/>
                <w:sz w:val="18"/>
              </w:rPr>
              <w:t>Indeks (%)</w:t>
            </w:r>
          </w:p>
        </w:tc>
      </w:tr>
      <w:tr w:rsidR="009C6F8A" w14:paraId="422CE5F9" w14:textId="77777777">
        <w:tblPrEx>
          <w:tblCellMar>
            <w:top w:w="0" w:type="dxa"/>
            <w:bottom w:w="0" w:type="dxa"/>
          </w:tblCellMar>
        </w:tblPrEx>
        <w:trPr>
          <w:cantSplit/>
          <w:trHeight w:val="560"/>
        </w:trPr>
        <w:tc>
          <w:tcPr>
            <w:tcW w:w="700" w:type="dxa"/>
            <w:tcMar>
              <w:top w:w="0" w:type="dxa"/>
              <w:bottom w:w="0" w:type="dxa"/>
            </w:tcMar>
            <w:vAlign w:val="center"/>
          </w:tcPr>
          <w:p w14:paraId="1D72E0A3" w14:textId="77777777" w:rsidR="009C6F8A" w:rsidRDefault="00727BBA">
            <w:pPr>
              <w:keepNext/>
              <w:keepLines/>
              <w:spacing w:after="0" w:line="240" w:lineRule="auto"/>
            </w:pPr>
            <w:r>
              <w:rPr>
                <w:sz w:val="18"/>
              </w:rPr>
              <w:t>352</w:t>
            </w:r>
          </w:p>
        </w:tc>
        <w:tc>
          <w:tcPr>
            <w:tcW w:w="3180" w:type="dxa"/>
            <w:tcMar>
              <w:top w:w="0" w:type="dxa"/>
              <w:bottom w:w="0" w:type="dxa"/>
            </w:tcMar>
            <w:vAlign w:val="center"/>
          </w:tcPr>
          <w:p w14:paraId="5B208CAE" w14:textId="77777777" w:rsidR="009C6F8A" w:rsidRDefault="00727BBA">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0AC1C349" w14:textId="77777777" w:rsidR="009C6F8A" w:rsidRDefault="00727BBA">
            <w:pPr>
              <w:keepNext/>
              <w:keepLines/>
              <w:spacing w:after="0" w:line="240" w:lineRule="auto"/>
            </w:pPr>
            <w:r>
              <w:rPr>
                <w:sz w:val="18"/>
              </w:rPr>
              <w:t>352</w:t>
            </w:r>
          </w:p>
        </w:tc>
        <w:tc>
          <w:tcPr>
            <w:tcW w:w="1860" w:type="dxa"/>
            <w:tcMar>
              <w:top w:w="0" w:type="dxa"/>
              <w:bottom w:w="0" w:type="dxa"/>
            </w:tcMar>
            <w:vAlign w:val="center"/>
          </w:tcPr>
          <w:p w14:paraId="466D735A" w14:textId="77777777" w:rsidR="009C6F8A" w:rsidRDefault="00727BBA">
            <w:pPr>
              <w:keepNext/>
              <w:keepLines/>
              <w:spacing w:after="0" w:line="240" w:lineRule="auto"/>
              <w:jc w:val="right"/>
            </w:pPr>
            <w:r>
              <w:rPr>
                <w:sz w:val="18"/>
              </w:rPr>
              <w:t>15.458,46</w:t>
            </w:r>
          </w:p>
        </w:tc>
        <w:tc>
          <w:tcPr>
            <w:tcW w:w="1860" w:type="dxa"/>
            <w:tcMar>
              <w:top w:w="0" w:type="dxa"/>
              <w:bottom w:w="0" w:type="dxa"/>
            </w:tcMar>
            <w:vAlign w:val="center"/>
          </w:tcPr>
          <w:p w14:paraId="6FEF277F" w14:textId="77777777" w:rsidR="009C6F8A" w:rsidRDefault="00727BBA">
            <w:pPr>
              <w:keepNext/>
              <w:keepLines/>
              <w:spacing w:after="0" w:line="240" w:lineRule="auto"/>
              <w:jc w:val="right"/>
            </w:pPr>
            <w:r>
              <w:rPr>
                <w:sz w:val="18"/>
              </w:rPr>
              <w:t>1.119.424,64</w:t>
            </w:r>
          </w:p>
        </w:tc>
        <w:tc>
          <w:tcPr>
            <w:tcW w:w="700" w:type="dxa"/>
            <w:tcMar>
              <w:top w:w="0" w:type="dxa"/>
              <w:bottom w:w="0" w:type="dxa"/>
            </w:tcMar>
            <w:vAlign w:val="center"/>
          </w:tcPr>
          <w:p w14:paraId="44CB313E" w14:textId="77777777" w:rsidR="009C6F8A" w:rsidRDefault="00727BBA">
            <w:pPr>
              <w:keepNext/>
              <w:keepLines/>
              <w:spacing w:after="0" w:line="240" w:lineRule="auto"/>
              <w:jc w:val="right"/>
            </w:pPr>
            <w:r>
              <w:rPr>
                <w:sz w:val="18"/>
              </w:rPr>
              <w:t>7241,5</w:t>
            </w:r>
          </w:p>
        </w:tc>
      </w:tr>
    </w:tbl>
    <w:p w14:paraId="4F7F621D" w14:textId="77777777" w:rsidR="009C6F8A" w:rsidRDefault="009C6F8A">
      <w:pPr>
        <w:spacing w:after="0"/>
      </w:pPr>
    </w:p>
    <w:p w14:paraId="64E3D883" w14:textId="77777777" w:rsidR="009C6F8A" w:rsidRDefault="00727BBA">
      <w:r>
        <w:t xml:space="preserve">Subvencije kreditnim i financijskim institucijama, trgovačkim društvima, zadrugama, poljoprivrednicima i obrtnicima izvan javnog sektora bilježe veliko povećanje u odnosu na isto razdoblje prošle godine i odnose se na sufinanciranje kamata poduzetnicima u sklopu programa „Kreditom do konkurentnosti“, higijeničarsku službu, subvencije u poljoprivredi za sufinanciranje umjetnog </w:t>
      </w:r>
      <w:proofErr w:type="spellStart"/>
      <w:r>
        <w:t>osjemenjivanja</w:t>
      </w:r>
      <w:proofErr w:type="spellEnd"/>
      <w:r>
        <w:t xml:space="preserve"> krava i krmača te na sufinanciranje troškova predškolskog odgoja za djecu koja pohađaju privatne vrtiće. Iskazano odstupanje uglavnom je rezultat  promjene u načinu evidentiranja rashoda za sufinanciranje troškova predškolskog odgoja koja su u prethodnom razdoblju prikazivana na računu 3811 Tekuće donacije.</w:t>
      </w:r>
    </w:p>
    <w:p w14:paraId="13F5FB99" w14:textId="77777777" w:rsidR="009C6F8A" w:rsidRDefault="009C6F8A"/>
    <w:p w14:paraId="5EC1E689" w14:textId="77777777" w:rsidR="009C6F8A" w:rsidRDefault="00727BB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3E984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B5FA5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5112DA"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D00BA"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196A5"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9CFED2"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E8B80D" w14:textId="77777777" w:rsidR="009C6F8A" w:rsidRDefault="00727BBA">
            <w:pPr>
              <w:keepNext/>
              <w:keepLines/>
              <w:spacing w:after="0" w:line="240" w:lineRule="auto"/>
              <w:jc w:val="center"/>
            </w:pPr>
            <w:r>
              <w:rPr>
                <w:b/>
                <w:sz w:val="18"/>
              </w:rPr>
              <w:t>Indeks (%)</w:t>
            </w:r>
          </w:p>
        </w:tc>
      </w:tr>
      <w:tr w:rsidR="009C6F8A" w14:paraId="45CD5BFA" w14:textId="77777777">
        <w:tblPrEx>
          <w:tblCellMar>
            <w:top w:w="0" w:type="dxa"/>
            <w:bottom w:w="0" w:type="dxa"/>
          </w:tblCellMar>
        </w:tblPrEx>
        <w:trPr>
          <w:cantSplit/>
          <w:trHeight w:val="560"/>
        </w:trPr>
        <w:tc>
          <w:tcPr>
            <w:tcW w:w="700" w:type="dxa"/>
            <w:tcMar>
              <w:top w:w="0" w:type="dxa"/>
              <w:bottom w:w="0" w:type="dxa"/>
            </w:tcMar>
            <w:vAlign w:val="center"/>
          </w:tcPr>
          <w:p w14:paraId="40927114" w14:textId="77777777" w:rsidR="009C6F8A" w:rsidRDefault="00727BBA">
            <w:pPr>
              <w:keepNext/>
              <w:keepLines/>
              <w:spacing w:after="0" w:line="240" w:lineRule="auto"/>
            </w:pPr>
            <w:r>
              <w:rPr>
                <w:sz w:val="18"/>
              </w:rPr>
              <w:t>363</w:t>
            </w:r>
          </w:p>
        </w:tc>
        <w:tc>
          <w:tcPr>
            <w:tcW w:w="3180" w:type="dxa"/>
            <w:tcMar>
              <w:top w:w="0" w:type="dxa"/>
              <w:bottom w:w="0" w:type="dxa"/>
            </w:tcMar>
            <w:vAlign w:val="center"/>
          </w:tcPr>
          <w:p w14:paraId="4D08DC83" w14:textId="77777777" w:rsidR="009C6F8A" w:rsidRDefault="00727BBA">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68007C08" w14:textId="77777777" w:rsidR="009C6F8A" w:rsidRDefault="00727BBA">
            <w:pPr>
              <w:keepNext/>
              <w:keepLines/>
              <w:spacing w:after="0" w:line="240" w:lineRule="auto"/>
            </w:pPr>
            <w:r>
              <w:rPr>
                <w:sz w:val="18"/>
              </w:rPr>
              <w:t>363</w:t>
            </w:r>
          </w:p>
        </w:tc>
        <w:tc>
          <w:tcPr>
            <w:tcW w:w="1860" w:type="dxa"/>
            <w:tcMar>
              <w:top w:w="0" w:type="dxa"/>
              <w:bottom w:w="0" w:type="dxa"/>
            </w:tcMar>
            <w:vAlign w:val="center"/>
          </w:tcPr>
          <w:p w14:paraId="75A33511" w14:textId="77777777" w:rsidR="009C6F8A" w:rsidRDefault="00727BBA">
            <w:pPr>
              <w:keepNext/>
              <w:keepLines/>
              <w:spacing w:after="0" w:line="240" w:lineRule="auto"/>
              <w:jc w:val="right"/>
            </w:pPr>
            <w:r>
              <w:rPr>
                <w:sz w:val="18"/>
              </w:rPr>
              <w:t>500,00</w:t>
            </w:r>
          </w:p>
        </w:tc>
        <w:tc>
          <w:tcPr>
            <w:tcW w:w="1860" w:type="dxa"/>
            <w:tcMar>
              <w:top w:w="0" w:type="dxa"/>
              <w:bottom w:w="0" w:type="dxa"/>
            </w:tcMar>
            <w:vAlign w:val="center"/>
          </w:tcPr>
          <w:p w14:paraId="1137B82D" w14:textId="77777777" w:rsidR="009C6F8A" w:rsidRDefault="00727BBA">
            <w:pPr>
              <w:keepNext/>
              <w:keepLines/>
              <w:spacing w:after="0" w:line="240" w:lineRule="auto"/>
              <w:jc w:val="right"/>
            </w:pPr>
            <w:r>
              <w:rPr>
                <w:sz w:val="18"/>
              </w:rPr>
              <w:t>164.867,69</w:t>
            </w:r>
          </w:p>
        </w:tc>
        <w:tc>
          <w:tcPr>
            <w:tcW w:w="700" w:type="dxa"/>
            <w:tcMar>
              <w:top w:w="0" w:type="dxa"/>
              <w:bottom w:w="0" w:type="dxa"/>
            </w:tcMar>
            <w:vAlign w:val="center"/>
          </w:tcPr>
          <w:p w14:paraId="21A15883" w14:textId="77777777" w:rsidR="009C6F8A" w:rsidRDefault="00727BBA">
            <w:pPr>
              <w:keepNext/>
              <w:keepLines/>
              <w:spacing w:after="0" w:line="240" w:lineRule="auto"/>
              <w:jc w:val="right"/>
            </w:pPr>
            <w:r>
              <w:rPr>
                <w:sz w:val="18"/>
              </w:rPr>
              <w:t>&gt;&gt;100</w:t>
            </w:r>
          </w:p>
        </w:tc>
      </w:tr>
    </w:tbl>
    <w:p w14:paraId="724E5D1C" w14:textId="77777777" w:rsidR="009C6F8A" w:rsidRDefault="009C6F8A">
      <w:pPr>
        <w:spacing w:after="0"/>
      </w:pPr>
    </w:p>
    <w:p w14:paraId="4356EC77" w14:textId="77777777" w:rsidR="009C6F8A" w:rsidRDefault="00727BBA">
      <w:r>
        <w:t xml:space="preserve">Iskazane  pomoći odnose se a kapitalnu pomoć danu Zagrebačkoj županiji za radove na postavi poda u sportskoj dvorani  OŠ Vladimir </w:t>
      </w:r>
      <w:proofErr w:type="spellStart"/>
      <w:r>
        <w:t>Deščak</w:t>
      </w:r>
      <w:proofErr w:type="spellEnd"/>
      <w:r>
        <w:t xml:space="preserve"> u Rakitju i Gradu Samoboru za sufinanciranje nabave terenskog vozila za potrebe HGSS-a.</w:t>
      </w:r>
    </w:p>
    <w:p w14:paraId="78BA5D48" w14:textId="77777777" w:rsidR="009C6F8A" w:rsidRDefault="009C6F8A"/>
    <w:p w14:paraId="20997B02" w14:textId="77777777" w:rsidR="009C6F8A" w:rsidRDefault="00727BBA">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045A0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0CC4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97D63"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CBFE47"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E6D64A"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B7AF51"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CDBFD8" w14:textId="77777777" w:rsidR="009C6F8A" w:rsidRDefault="00727BBA">
            <w:pPr>
              <w:keepNext/>
              <w:keepLines/>
              <w:spacing w:after="0" w:line="240" w:lineRule="auto"/>
              <w:jc w:val="center"/>
            </w:pPr>
            <w:r>
              <w:rPr>
                <w:b/>
                <w:sz w:val="18"/>
              </w:rPr>
              <w:t>Indeks (%)</w:t>
            </w:r>
          </w:p>
        </w:tc>
      </w:tr>
      <w:tr w:rsidR="009C6F8A" w14:paraId="4A50FBAA" w14:textId="77777777">
        <w:tblPrEx>
          <w:tblCellMar>
            <w:top w:w="0" w:type="dxa"/>
            <w:bottom w:w="0" w:type="dxa"/>
          </w:tblCellMar>
        </w:tblPrEx>
        <w:trPr>
          <w:cantSplit/>
          <w:trHeight w:val="560"/>
        </w:trPr>
        <w:tc>
          <w:tcPr>
            <w:tcW w:w="700" w:type="dxa"/>
            <w:tcMar>
              <w:top w:w="0" w:type="dxa"/>
              <w:bottom w:w="0" w:type="dxa"/>
            </w:tcMar>
            <w:vAlign w:val="center"/>
          </w:tcPr>
          <w:p w14:paraId="0A276E95" w14:textId="77777777" w:rsidR="009C6F8A" w:rsidRDefault="00727BBA">
            <w:pPr>
              <w:keepNext/>
              <w:keepLines/>
              <w:spacing w:after="0" w:line="240" w:lineRule="auto"/>
            </w:pPr>
            <w:r>
              <w:rPr>
                <w:sz w:val="18"/>
              </w:rPr>
              <w:t>366</w:t>
            </w:r>
          </w:p>
        </w:tc>
        <w:tc>
          <w:tcPr>
            <w:tcW w:w="3180" w:type="dxa"/>
            <w:tcMar>
              <w:top w:w="0" w:type="dxa"/>
              <w:bottom w:w="0" w:type="dxa"/>
            </w:tcMar>
            <w:vAlign w:val="center"/>
          </w:tcPr>
          <w:p w14:paraId="25C9F178" w14:textId="77777777" w:rsidR="009C6F8A" w:rsidRDefault="00727BBA">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4F41584F" w14:textId="77777777" w:rsidR="009C6F8A" w:rsidRDefault="00727BBA">
            <w:pPr>
              <w:keepNext/>
              <w:keepLines/>
              <w:spacing w:after="0" w:line="240" w:lineRule="auto"/>
            </w:pPr>
            <w:r>
              <w:rPr>
                <w:sz w:val="18"/>
              </w:rPr>
              <w:t>366</w:t>
            </w:r>
          </w:p>
        </w:tc>
        <w:tc>
          <w:tcPr>
            <w:tcW w:w="1860" w:type="dxa"/>
            <w:tcMar>
              <w:top w:w="0" w:type="dxa"/>
              <w:bottom w:w="0" w:type="dxa"/>
            </w:tcMar>
            <w:vAlign w:val="center"/>
          </w:tcPr>
          <w:p w14:paraId="18E5A37C" w14:textId="77777777" w:rsidR="009C6F8A" w:rsidRDefault="00727BBA">
            <w:pPr>
              <w:keepNext/>
              <w:keepLines/>
              <w:spacing w:after="0" w:line="240" w:lineRule="auto"/>
              <w:jc w:val="right"/>
            </w:pPr>
            <w:r>
              <w:rPr>
                <w:sz w:val="18"/>
              </w:rPr>
              <w:t>264.920,72</w:t>
            </w:r>
          </w:p>
        </w:tc>
        <w:tc>
          <w:tcPr>
            <w:tcW w:w="1860" w:type="dxa"/>
            <w:tcMar>
              <w:top w:w="0" w:type="dxa"/>
              <w:bottom w:w="0" w:type="dxa"/>
            </w:tcMar>
            <w:vAlign w:val="center"/>
          </w:tcPr>
          <w:p w14:paraId="3CBD807F" w14:textId="77777777" w:rsidR="009C6F8A" w:rsidRDefault="00727BBA">
            <w:pPr>
              <w:keepNext/>
              <w:keepLines/>
              <w:spacing w:after="0" w:line="240" w:lineRule="auto"/>
              <w:jc w:val="right"/>
            </w:pPr>
            <w:r>
              <w:rPr>
                <w:sz w:val="18"/>
              </w:rPr>
              <w:t>302.090,36</w:t>
            </w:r>
          </w:p>
        </w:tc>
        <w:tc>
          <w:tcPr>
            <w:tcW w:w="700" w:type="dxa"/>
            <w:tcMar>
              <w:top w:w="0" w:type="dxa"/>
              <w:bottom w:w="0" w:type="dxa"/>
            </w:tcMar>
            <w:vAlign w:val="center"/>
          </w:tcPr>
          <w:p w14:paraId="4CF767AB" w14:textId="77777777" w:rsidR="009C6F8A" w:rsidRDefault="00727BBA">
            <w:pPr>
              <w:keepNext/>
              <w:keepLines/>
              <w:spacing w:after="0" w:line="240" w:lineRule="auto"/>
              <w:jc w:val="right"/>
            </w:pPr>
            <w:r>
              <w:rPr>
                <w:sz w:val="18"/>
              </w:rPr>
              <w:t>114,0</w:t>
            </w:r>
          </w:p>
        </w:tc>
      </w:tr>
    </w:tbl>
    <w:p w14:paraId="1FD37BDB" w14:textId="77777777" w:rsidR="009C6F8A" w:rsidRDefault="009C6F8A">
      <w:pPr>
        <w:spacing w:after="0"/>
      </w:pPr>
    </w:p>
    <w:p w14:paraId="0F4344E6" w14:textId="77777777" w:rsidR="009C6F8A" w:rsidRDefault="00727BBA">
      <w:r>
        <w:t xml:space="preserve">Pomoći proračunskim korisnicima drugih proračuna veće su za 14,00% u odnosu na isto razdoblje prošle godine i to uglavnom  zbog  kapitalne pomoći OŠ Sveta Nedelja za financiranje projektiranja dogradnje matične škole u Svetoj </w:t>
      </w:r>
      <w:proofErr w:type="spellStart"/>
      <w:r>
        <w:t>Nedelji</w:t>
      </w:r>
      <w:proofErr w:type="spellEnd"/>
      <w:r>
        <w:t>.  Pomoći  koje je dodjeljivao Grad  odnose se na pomoći za sufinanciranje rada dječjih vrtića kojima su osnivači druge JLS, pomoći za rad Ustanove za sveobuhvatnu skrb „</w:t>
      </w:r>
      <w:proofErr w:type="spellStart"/>
      <w:r>
        <w:t>Tigrovi“,pomoći</w:t>
      </w:r>
      <w:proofErr w:type="spellEnd"/>
      <w:r>
        <w:t xml:space="preserve">  za rad ambulanti u Domu zdravlja ZŽ i  Zavoda za hitnu medicini ZŽ te pomoći dane  OŠ Sveta  Nedelja i OŠ Vladimir </w:t>
      </w:r>
      <w:proofErr w:type="spellStart"/>
      <w:r>
        <w:t>Deščak</w:t>
      </w:r>
      <w:proofErr w:type="spellEnd"/>
      <w:r>
        <w:t xml:space="preserve"> . </w:t>
      </w:r>
    </w:p>
    <w:p w14:paraId="22B6D1D8" w14:textId="77777777" w:rsidR="009C6F8A" w:rsidRDefault="009C6F8A"/>
    <w:p w14:paraId="5A9D1E57" w14:textId="77777777" w:rsidR="009C6F8A" w:rsidRDefault="00727BBA">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125CC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1C56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1EB31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88B4A"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44FE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C934D8"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FD0E98" w14:textId="77777777" w:rsidR="009C6F8A" w:rsidRDefault="00727BBA">
            <w:pPr>
              <w:keepNext/>
              <w:keepLines/>
              <w:spacing w:after="0" w:line="240" w:lineRule="auto"/>
              <w:jc w:val="center"/>
            </w:pPr>
            <w:r>
              <w:rPr>
                <w:b/>
                <w:sz w:val="18"/>
              </w:rPr>
              <w:t>Indeks (%)</w:t>
            </w:r>
          </w:p>
        </w:tc>
      </w:tr>
      <w:tr w:rsidR="009C6F8A" w14:paraId="2D2AF51B" w14:textId="77777777">
        <w:tblPrEx>
          <w:tblCellMar>
            <w:top w:w="0" w:type="dxa"/>
            <w:bottom w:w="0" w:type="dxa"/>
          </w:tblCellMar>
        </w:tblPrEx>
        <w:trPr>
          <w:cantSplit/>
          <w:trHeight w:val="560"/>
        </w:trPr>
        <w:tc>
          <w:tcPr>
            <w:tcW w:w="700" w:type="dxa"/>
            <w:tcMar>
              <w:top w:w="0" w:type="dxa"/>
              <w:bottom w:w="0" w:type="dxa"/>
            </w:tcMar>
            <w:vAlign w:val="center"/>
          </w:tcPr>
          <w:p w14:paraId="321167E9" w14:textId="77777777" w:rsidR="009C6F8A" w:rsidRDefault="00727BBA">
            <w:pPr>
              <w:keepNext/>
              <w:keepLines/>
              <w:spacing w:after="0" w:line="240" w:lineRule="auto"/>
            </w:pPr>
            <w:r>
              <w:rPr>
                <w:sz w:val="18"/>
              </w:rPr>
              <w:t>3721</w:t>
            </w:r>
          </w:p>
        </w:tc>
        <w:tc>
          <w:tcPr>
            <w:tcW w:w="3180" w:type="dxa"/>
            <w:tcMar>
              <w:top w:w="0" w:type="dxa"/>
              <w:bottom w:w="0" w:type="dxa"/>
            </w:tcMar>
            <w:vAlign w:val="center"/>
          </w:tcPr>
          <w:p w14:paraId="60CC2C09" w14:textId="77777777" w:rsidR="009C6F8A" w:rsidRDefault="00727BBA">
            <w:pPr>
              <w:keepNext/>
              <w:keepLines/>
              <w:spacing w:after="0" w:line="240" w:lineRule="auto"/>
            </w:pPr>
            <w:r>
              <w:rPr>
                <w:sz w:val="18"/>
              </w:rPr>
              <w:t>Naknade građanima i kućanstvima u novcu</w:t>
            </w:r>
          </w:p>
        </w:tc>
        <w:tc>
          <w:tcPr>
            <w:tcW w:w="700" w:type="dxa"/>
            <w:tcMar>
              <w:top w:w="0" w:type="dxa"/>
              <w:bottom w:w="0" w:type="dxa"/>
            </w:tcMar>
            <w:vAlign w:val="center"/>
          </w:tcPr>
          <w:p w14:paraId="13C23FAC" w14:textId="77777777" w:rsidR="009C6F8A" w:rsidRDefault="00727BBA">
            <w:pPr>
              <w:keepNext/>
              <w:keepLines/>
              <w:spacing w:after="0" w:line="240" w:lineRule="auto"/>
            </w:pPr>
            <w:r>
              <w:rPr>
                <w:sz w:val="18"/>
              </w:rPr>
              <w:t>3721</w:t>
            </w:r>
          </w:p>
        </w:tc>
        <w:tc>
          <w:tcPr>
            <w:tcW w:w="1860" w:type="dxa"/>
            <w:tcMar>
              <w:top w:w="0" w:type="dxa"/>
              <w:bottom w:w="0" w:type="dxa"/>
            </w:tcMar>
            <w:vAlign w:val="center"/>
          </w:tcPr>
          <w:p w14:paraId="1E115A44" w14:textId="77777777" w:rsidR="009C6F8A" w:rsidRDefault="00727BBA">
            <w:pPr>
              <w:keepNext/>
              <w:keepLines/>
              <w:spacing w:after="0" w:line="240" w:lineRule="auto"/>
              <w:jc w:val="right"/>
            </w:pPr>
            <w:r>
              <w:rPr>
                <w:sz w:val="18"/>
              </w:rPr>
              <w:t>618.158,70</w:t>
            </w:r>
          </w:p>
        </w:tc>
        <w:tc>
          <w:tcPr>
            <w:tcW w:w="1860" w:type="dxa"/>
            <w:tcMar>
              <w:top w:w="0" w:type="dxa"/>
              <w:bottom w:w="0" w:type="dxa"/>
            </w:tcMar>
            <w:vAlign w:val="center"/>
          </w:tcPr>
          <w:p w14:paraId="1AC09FB3" w14:textId="77777777" w:rsidR="009C6F8A" w:rsidRDefault="00727BBA">
            <w:pPr>
              <w:keepNext/>
              <w:keepLines/>
              <w:spacing w:after="0" w:line="240" w:lineRule="auto"/>
              <w:jc w:val="right"/>
            </w:pPr>
            <w:r>
              <w:rPr>
                <w:sz w:val="18"/>
              </w:rPr>
              <w:t>992.971,87</w:t>
            </w:r>
          </w:p>
        </w:tc>
        <w:tc>
          <w:tcPr>
            <w:tcW w:w="700" w:type="dxa"/>
            <w:tcMar>
              <w:top w:w="0" w:type="dxa"/>
              <w:bottom w:w="0" w:type="dxa"/>
            </w:tcMar>
            <w:vAlign w:val="center"/>
          </w:tcPr>
          <w:p w14:paraId="6ABB43F5" w14:textId="77777777" w:rsidR="009C6F8A" w:rsidRDefault="00727BBA">
            <w:pPr>
              <w:keepNext/>
              <w:keepLines/>
              <w:spacing w:after="0" w:line="240" w:lineRule="auto"/>
              <w:jc w:val="right"/>
            </w:pPr>
            <w:r>
              <w:rPr>
                <w:sz w:val="18"/>
              </w:rPr>
              <w:t>160,6</w:t>
            </w:r>
          </w:p>
        </w:tc>
      </w:tr>
    </w:tbl>
    <w:p w14:paraId="6409E43F" w14:textId="77777777" w:rsidR="009C6F8A" w:rsidRDefault="009C6F8A">
      <w:pPr>
        <w:spacing w:after="0"/>
      </w:pPr>
    </w:p>
    <w:p w14:paraId="6A86441D" w14:textId="77777777" w:rsidR="009C6F8A" w:rsidRDefault="00727BBA">
      <w:r>
        <w:t>Naknade građanima i kućanstvima u novcu veće su za 60,6% u odnosu na isto izvještajno razdoblje prethodne godine i to najvećim dijelom zbog povećanja iznosa  naknade za opremu za novorođenčad,  naknade za  Uskrs i Božić za umirovljenike, nezaposlene i roditelje/skrbnike djece s trajnim teškoćama u razvoju i  studentske i srednjoškolske stipendije. Uz ova najveća povećanja veći su još i rashodi za naknade građanima i kućanstvima u novcu i naknade za nezaposlene hrvatske branitelje iz domovinskog rata. </w:t>
      </w:r>
    </w:p>
    <w:p w14:paraId="3BEFF6B6" w14:textId="77777777" w:rsidR="009C6F8A" w:rsidRDefault="009C6F8A"/>
    <w:p w14:paraId="7FD8665A" w14:textId="77777777" w:rsidR="009C6F8A" w:rsidRDefault="00727BB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92D9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DB7A6A"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407C1"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A496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E1F6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46797E"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AFCBE3" w14:textId="77777777" w:rsidR="009C6F8A" w:rsidRDefault="00727BBA">
            <w:pPr>
              <w:keepNext/>
              <w:keepLines/>
              <w:spacing w:after="0" w:line="240" w:lineRule="auto"/>
              <w:jc w:val="center"/>
            </w:pPr>
            <w:r>
              <w:rPr>
                <w:b/>
                <w:sz w:val="18"/>
              </w:rPr>
              <w:t>Indeks (%)</w:t>
            </w:r>
          </w:p>
        </w:tc>
      </w:tr>
      <w:tr w:rsidR="009C6F8A" w14:paraId="06E991DE" w14:textId="77777777">
        <w:tblPrEx>
          <w:tblCellMar>
            <w:top w:w="0" w:type="dxa"/>
            <w:bottom w:w="0" w:type="dxa"/>
          </w:tblCellMar>
        </w:tblPrEx>
        <w:trPr>
          <w:cantSplit/>
          <w:trHeight w:val="560"/>
        </w:trPr>
        <w:tc>
          <w:tcPr>
            <w:tcW w:w="700" w:type="dxa"/>
            <w:tcMar>
              <w:top w:w="0" w:type="dxa"/>
              <w:bottom w:w="0" w:type="dxa"/>
            </w:tcMar>
            <w:vAlign w:val="center"/>
          </w:tcPr>
          <w:p w14:paraId="756E9136" w14:textId="77777777" w:rsidR="009C6F8A" w:rsidRDefault="00727BBA">
            <w:pPr>
              <w:keepNext/>
              <w:keepLines/>
              <w:spacing w:after="0" w:line="240" w:lineRule="auto"/>
            </w:pPr>
            <w:r>
              <w:rPr>
                <w:sz w:val="18"/>
              </w:rPr>
              <w:t>3722</w:t>
            </w:r>
          </w:p>
        </w:tc>
        <w:tc>
          <w:tcPr>
            <w:tcW w:w="3180" w:type="dxa"/>
            <w:tcMar>
              <w:top w:w="0" w:type="dxa"/>
              <w:bottom w:w="0" w:type="dxa"/>
            </w:tcMar>
            <w:vAlign w:val="center"/>
          </w:tcPr>
          <w:p w14:paraId="2DC5CA5E" w14:textId="77777777" w:rsidR="009C6F8A" w:rsidRDefault="00727BBA">
            <w:pPr>
              <w:keepNext/>
              <w:keepLines/>
              <w:spacing w:after="0" w:line="240" w:lineRule="auto"/>
            </w:pPr>
            <w:r>
              <w:rPr>
                <w:sz w:val="18"/>
              </w:rPr>
              <w:t>Naknade građanima i kućanstvima u naravi</w:t>
            </w:r>
          </w:p>
        </w:tc>
        <w:tc>
          <w:tcPr>
            <w:tcW w:w="700" w:type="dxa"/>
            <w:tcMar>
              <w:top w:w="0" w:type="dxa"/>
              <w:bottom w:w="0" w:type="dxa"/>
            </w:tcMar>
            <w:vAlign w:val="center"/>
          </w:tcPr>
          <w:p w14:paraId="17F13478" w14:textId="77777777" w:rsidR="009C6F8A" w:rsidRDefault="00727BBA">
            <w:pPr>
              <w:keepNext/>
              <w:keepLines/>
              <w:spacing w:after="0" w:line="240" w:lineRule="auto"/>
            </w:pPr>
            <w:r>
              <w:rPr>
                <w:sz w:val="18"/>
              </w:rPr>
              <w:t>3722</w:t>
            </w:r>
          </w:p>
        </w:tc>
        <w:tc>
          <w:tcPr>
            <w:tcW w:w="1860" w:type="dxa"/>
            <w:tcMar>
              <w:top w:w="0" w:type="dxa"/>
              <w:bottom w:w="0" w:type="dxa"/>
            </w:tcMar>
            <w:vAlign w:val="center"/>
          </w:tcPr>
          <w:p w14:paraId="1B769B8A" w14:textId="77777777" w:rsidR="009C6F8A" w:rsidRDefault="00727BBA">
            <w:pPr>
              <w:keepNext/>
              <w:keepLines/>
              <w:spacing w:after="0" w:line="240" w:lineRule="auto"/>
              <w:jc w:val="right"/>
            </w:pPr>
            <w:r>
              <w:rPr>
                <w:sz w:val="18"/>
              </w:rPr>
              <w:t>677.661,81</w:t>
            </w:r>
          </w:p>
        </w:tc>
        <w:tc>
          <w:tcPr>
            <w:tcW w:w="1860" w:type="dxa"/>
            <w:tcMar>
              <w:top w:w="0" w:type="dxa"/>
              <w:bottom w:w="0" w:type="dxa"/>
            </w:tcMar>
            <w:vAlign w:val="center"/>
          </w:tcPr>
          <w:p w14:paraId="3039BC99" w14:textId="77777777" w:rsidR="009C6F8A" w:rsidRDefault="00727BBA">
            <w:pPr>
              <w:keepNext/>
              <w:keepLines/>
              <w:spacing w:after="0" w:line="240" w:lineRule="auto"/>
              <w:jc w:val="right"/>
            </w:pPr>
            <w:r>
              <w:rPr>
                <w:sz w:val="18"/>
              </w:rPr>
              <w:t>767.756,47</w:t>
            </w:r>
          </w:p>
        </w:tc>
        <w:tc>
          <w:tcPr>
            <w:tcW w:w="700" w:type="dxa"/>
            <w:tcMar>
              <w:top w:w="0" w:type="dxa"/>
              <w:bottom w:w="0" w:type="dxa"/>
            </w:tcMar>
            <w:vAlign w:val="center"/>
          </w:tcPr>
          <w:p w14:paraId="32050DA7" w14:textId="77777777" w:rsidR="009C6F8A" w:rsidRDefault="00727BBA">
            <w:pPr>
              <w:keepNext/>
              <w:keepLines/>
              <w:spacing w:after="0" w:line="240" w:lineRule="auto"/>
              <w:jc w:val="right"/>
            </w:pPr>
            <w:r>
              <w:rPr>
                <w:sz w:val="18"/>
              </w:rPr>
              <w:t>113,3</w:t>
            </w:r>
          </w:p>
        </w:tc>
      </w:tr>
    </w:tbl>
    <w:p w14:paraId="498DAF17" w14:textId="77777777" w:rsidR="009C6F8A" w:rsidRDefault="009C6F8A">
      <w:pPr>
        <w:spacing w:after="0"/>
      </w:pPr>
    </w:p>
    <w:p w14:paraId="5B82DD18" w14:textId="77777777" w:rsidR="009C6F8A" w:rsidRDefault="00727BBA">
      <w:r>
        <w:t>Naknade građanima i kućanstvima u naravi su veće za 13,3%  u odnosu na isto izvještajno razdoblje prethodne godine i to uglavnom zbog većih rashoda za produženi boravak, nabavu prigodnih poklon paketa za novorođenu djecu, dodatnih prava hrvatskih branitelja (plaćen kanalizacijski priključak za 1 korisnika) i za besplatno klizanje djece svih uzrasta na manifestaciji „Zimski cajti“ kojih u 2024.godini nije bilo.</w:t>
      </w:r>
    </w:p>
    <w:p w14:paraId="4668D675" w14:textId="77777777" w:rsidR="009C6F8A" w:rsidRDefault="00727BBA">
      <w:r>
        <w:t> </w:t>
      </w:r>
    </w:p>
    <w:p w14:paraId="3EF82032" w14:textId="77777777" w:rsidR="009C6F8A" w:rsidRDefault="009C6F8A"/>
    <w:p w14:paraId="4FF7E1E6" w14:textId="77777777" w:rsidR="009C6F8A" w:rsidRDefault="00727BB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6813E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A2162F"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9FCEA"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86FF4"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DBC067"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710450"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BF432F" w14:textId="77777777" w:rsidR="009C6F8A" w:rsidRDefault="00727BBA">
            <w:pPr>
              <w:keepNext/>
              <w:keepLines/>
              <w:spacing w:after="0" w:line="240" w:lineRule="auto"/>
              <w:jc w:val="center"/>
            </w:pPr>
            <w:r>
              <w:rPr>
                <w:b/>
                <w:sz w:val="18"/>
              </w:rPr>
              <w:t>Indeks (%)</w:t>
            </w:r>
          </w:p>
        </w:tc>
      </w:tr>
      <w:tr w:rsidR="009C6F8A" w14:paraId="7BC39C49" w14:textId="77777777">
        <w:tblPrEx>
          <w:tblCellMar>
            <w:top w:w="0" w:type="dxa"/>
            <w:bottom w:w="0" w:type="dxa"/>
          </w:tblCellMar>
        </w:tblPrEx>
        <w:trPr>
          <w:cantSplit/>
          <w:trHeight w:val="560"/>
        </w:trPr>
        <w:tc>
          <w:tcPr>
            <w:tcW w:w="700" w:type="dxa"/>
            <w:tcMar>
              <w:top w:w="0" w:type="dxa"/>
              <w:bottom w:w="0" w:type="dxa"/>
            </w:tcMar>
            <w:vAlign w:val="center"/>
          </w:tcPr>
          <w:p w14:paraId="47574C82" w14:textId="77777777" w:rsidR="009C6F8A" w:rsidRDefault="00727BBA">
            <w:pPr>
              <w:keepNext/>
              <w:keepLines/>
              <w:spacing w:after="0" w:line="240" w:lineRule="auto"/>
            </w:pPr>
            <w:r>
              <w:rPr>
                <w:sz w:val="18"/>
              </w:rPr>
              <w:t>3821</w:t>
            </w:r>
          </w:p>
        </w:tc>
        <w:tc>
          <w:tcPr>
            <w:tcW w:w="3180" w:type="dxa"/>
            <w:tcMar>
              <w:top w:w="0" w:type="dxa"/>
              <w:bottom w:w="0" w:type="dxa"/>
            </w:tcMar>
            <w:vAlign w:val="center"/>
          </w:tcPr>
          <w:p w14:paraId="7B1EE539" w14:textId="77777777" w:rsidR="009C6F8A" w:rsidRDefault="00727BBA">
            <w:pPr>
              <w:keepNext/>
              <w:keepLines/>
              <w:spacing w:after="0" w:line="240" w:lineRule="auto"/>
            </w:pPr>
            <w:r>
              <w:rPr>
                <w:sz w:val="18"/>
              </w:rPr>
              <w:t>Kapitalne donacije neprofitnim organizacijama</w:t>
            </w:r>
          </w:p>
        </w:tc>
        <w:tc>
          <w:tcPr>
            <w:tcW w:w="700" w:type="dxa"/>
            <w:tcMar>
              <w:top w:w="0" w:type="dxa"/>
              <w:bottom w:w="0" w:type="dxa"/>
            </w:tcMar>
            <w:vAlign w:val="center"/>
          </w:tcPr>
          <w:p w14:paraId="6B4CBF47" w14:textId="77777777" w:rsidR="009C6F8A" w:rsidRDefault="00727BBA">
            <w:pPr>
              <w:keepNext/>
              <w:keepLines/>
              <w:spacing w:after="0" w:line="240" w:lineRule="auto"/>
            </w:pPr>
            <w:r>
              <w:rPr>
                <w:sz w:val="18"/>
              </w:rPr>
              <w:t>3821</w:t>
            </w:r>
          </w:p>
        </w:tc>
        <w:tc>
          <w:tcPr>
            <w:tcW w:w="1860" w:type="dxa"/>
            <w:tcMar>
              <w:top w:w="0" w:type="dxa"/>
              <w:bottom w:w="0" w:type="dxa"/>
            </w:tcMar>
            <w:vAlign w:val="center"/>
          </w:tcPr>
          <w:p w14:paraId="7A53057E" w14:textId="77777777" w:rsidR="009C6F8A" w:rsidRDefault="00727BBA">
            <w:pPr>
              <w:keepNext/>
              <w:keepLines/>
              <w:spacing w:after="0" w:line="240" w:lineRule="auto"/>
              <w:jc w:val="right"/>
            </w:pPr>
            <w:r>
              <w:rPr>
                <w:sz w:val="18"/>
              </w:rPr>
              <w:t>353.645,70</w:t>
            </w:r>
          </w:p>
        </w:tc>
        <w:tc>
          <w:tcPr>
            <w:tcW w:w="1860" w:type="dxa"/>
            <w:tcMar>
              <w:top w:w="0" w:type="dxa"/>
              <w:bottom w:w="0" w:type="dxa"/>
            </w:tcMar>
            <w:vAlign w:val="center"/>
          </w:tcPr>
          <w:p w14:paraId="5E06B8F8" w14:textId="77777777" w:rsidR="009C6F8A" w:rsidRDefault="00727BBA">
            <w:pPr>
              <w:keepNext/>
              <w:keepLines/>
              <w:spacing w:after="0" w:line="240" w:lineRule="auto"/>
              <w:jc w:val="right"/>
            </w:pPr>
            <w:r>
              <w:rPr>
                <w:sz w:val="18"/>
              </w:rPr>
              <w:t>282.600,80</w:t>
            </w:r>
          </w:p>
        </w:tc>
        <w:tc>
          <w:tcPr>
            <w:tcW w:w="700" w:type="dxa"/>
            <w:tcMar>
              <w:top w:w="0" w:type="dxa"/>
              <w:bottom w:w="0" w:type="dxa"/>
            </w:tcMar>
            <w:vAlign w:val="center"/>
          </w:tcPr>
          <w:p w14:paraId="42F2E839" w14:textId="77777777" w:rsidR="009C6F8A" w:rsidRDefault="00727BBA">
            <w:pPr>
              <w:keepNext/>
              <w:keepLines/>
              <w:spacing w:after="0" w:line="240" w:lineRule="auto"/>
              <w:jc w:val="right"/>
            </w:pPr>
            <w:r>
              <w:rPr>
                <w:sz w:val="18"/>
              </w:rPr>
              <w:t>79,9</w:t>
            </w:r>
          </w:p>
        </w:tc>
      </w:tr>
    </w:tbl>
    <w:p w14:paraId="1A4F8499" w14:textId="77777777" w:rsidR="009C6F8A" w:rsidRDefault="009C6F8A">
      <w:pPr>
        <w:spacing w:after="0"/>
      </w:pPr>
    </w:p>
    <w:p w14:paraId="779EA098" w14:textId="77777777" w:rsidR="009C6F8A" w:rsidRDefault="00727BBA">
      <w:r>
        <w:t>Kapitalne donacije manje su za 20,10% u odnosu na izvještajno razdoblje prethodne godine jer je u izvještajnoj godini odobren manji iznos donacija.</w:t>
      </w:r>
    </w:p>
    <w:p w14:paraId="1B83DE35" w14:textId="77777777" w:rsidR="009C6F8A" w:rsidRDefault="009C6F8A"/>
    <w:p w14:paraId="2CF05BD1" w14:textId="77777777" w:rsidR="009C6F8A" w:rsidRDefault="00727BBA">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B2C06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FF1C1F"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E697C5"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59377C"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25E80"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00ECC"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467B9" w14:textId="77777777" w:rsidR="009C6F8A" w:rsidRDefault="00727BBA">
            <w:pPr>
              <w:keepNext/>
              <w:keepLines/>
              <w:spacing w:after="0" w:line="240" w:lineRule="auto"/>
              <w:jc w:val="center"/>
            </w:pPr>
            <w:r>
              <w:rPr>
                <w:b/>
                <w:sz w:val="18"/>
              </w:rPr>
              <w:t>Indeks (%)</w:t>
            </w:r>
          </w:p>
        </w:tc>
      </w:tr>
      <w:tr w:rsidR="009C6F8A" w14:paraId="4FA138E1" w14:textId="77777777">
        <w:tblPrEx>
          <w:tblCellMar>
            <w:top w:w="0" w:type="dxa"/>
            <w:bottom w:w="0" w:type="dxa"/>
          </w:tblCellMar>
        </w:tblPrEx>
        <w:trPr>
          <w:cantSplit/>
          <w:trHeight w:val="560"/>
        </w:trPr>
        <w:tc>
          <w:tcPr>
            <w:tcW w:w="700" w:type="dxa"/>
            <w:tcMar>
              <w:top w:w="0" w:type="dxa"/>
              <w:bottom w:w="0" w:type="dxa"/>
            </w:tcMar>
            <w:vAlign w:val="center"/>
          </w:tcPr>
          <w:p w14:paraId="42F735EF" w14:textId="77777777" w:rsidR="009C6F8A" w:rsidRDefault="00727BBA">
            <w:pPr>
              <w:keepNext/>
              <w:keepLines/>
              <w:spacing w:after="0" w:line="240" w:lineRule="auto"/>
            </w:pPr>
            <w:r>
              <w:rPr>
                <w:sz w:val="18"/>
              </w:rPr>
              <w:t>3861</w:t>
            </w:r>
          </w:p>
        </w:tc>
        <w:tc>
          <w:tcPr>
            <w:tcW w:w="3180" w:type="dxa"/>
            <w:tcMar>
              <w:top w:w="0" w:type="dxa"/>
              <w:bottom w:w="0" w:type="dxa"/>
            </w:tcMar>
            <w:vAlign w:val="center"/>
          </w:tcPr>
          <w:p w14:paraId="20DCF661" w14:textId="77777777" w:rsidR="009C6F8A" w:rsidRDefault="00727BBA">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57E4B7EF" w14:textId="77777777" w:rsidR="009C6F8A" w:rsidRDefault="00727BBA">
            <w:pPr>
              <w:keepNext/>
              <w:keepLines/>
              <w:spacing w:after="0" w:line="240" w:lineRule="auto"/>
            </w:pPr>
            <w:r>
              <w:rPr>
                <w:sz w:val="18"/>
              </w:rPr>
              <w:t>3861</w:t>
            </w:r>
          </w:p>
        </w:tc>
        <w:tc>
          <w:tcPr>
            <w:tcW w:w="1860" w:type="dxa"/>
            <w:tcMar>
              <w:top w:w="0" w:type="dxa"/>
              <w:bottom w:w="0" w:type="dxa"/>
            </w:tcMar>
            <w:vAlign w:val="center"/>
          </w:tcPr>
          <w:p w14:paraId="7C713DB6" w14:textId="77777777" w:rsidR="009C6F8A" w:rsidRDefault="00727BBA">
            <w:pPr>
              <w:keepNext/>
              <w:keepLines/>
              <w:spacing w:after="0" w:line="240" w:lineRule="auto"/>
              <w:jc w:val="right"/>
            </w:pPr>
            <w:r>
              <w:rPr>
                <w:sz w:val="18"/>
              </w:rPr>
              <w:t>41.398,50</w:t>
            </w:r>
          </w:p>
        </w:tc>
        <w:tc>
          <w:tcPr>
            <w:tcW w:w="1860" w:type="dxa"/>
            <w:tcMar>
              <w:top w:w="0" w:type="dxa"/>
              <w:bottom w:w="0" w:type="dxa"/>
            </w:tcMar>
            <w:vAlign w:val="center"/>
          </w:tcPr>
          <w:p w14:paraId="1F5972EB" w14:textId="77777777" w:rsidR="009C6F8A" w:rsidRDefault="00727BBA">
            <w:pPr>
              <w:keepNext/>
              <w:keepLines/>
              <w:spacing w:after="0" w:line="240" w:lineRule="auto"/>
              <w:jc w:val="right"/>
            </w:pPr>
            <w:r>
              <w:rPr>
                <w:sz w:val="18"/>
              </w:rPr>
              <w:t>477.989,25</w:t>
            </w:r>
          </w:p>
        </w:tc>
        <w:tc>
          <w:tcPr>
            <w:tcW w:w="700" w:type="dxa"/>
            <w:tcMar>
              <w:top w:w="0" w:type="dxa"/>
              <w:bottom w:w="0" w:type="dxa"/>
            </w:tcMar>
            <w:vAlign w:val="center"/>
          </w:tcPr>
          <w:p w14:paraId="459A6854" w14:textId="77777777" w:rsidR="009C6F8A" w:rsidRDefault="00727BBA">
            <w:pPr>
              <w:keepNext/>
              <w:keepLines/>
              <w:spacing w:after="0" w:line="240" w:lineRule="auto"/>
              <w:jc w:val="right"/>
            </w:pPr>
            <w:r>
              <w:rPr>
                <w:sz w:val="18"/>
              </w:rPr>
              <w:t>1154,6</w:t>
            </w:r>
          </w:p>
        </w:tc>
      </w:tr>
    </w:tbl>
    <w:p w14:paraId="770FEBD2" w14:textId="77777777" w:rsidR="009C6F8A" w:rsidRDefault="009C6F8A">
      <w:pPr>
        <w:spacing w:after="0"/>
      </w:pPr>
    </w:p>
    <w:p w14:paraId="38D6E08F" w14:textId="77777777" w:rsidR="009C6F8A" w:rsidRDefault="00727BBA">
      <w:r>
        <w:t xml:space="preserve">Kapitalne pomoći  su veće u odnosu na izvještajno razdoblje prethodne godine zbog značajne  kapitalne pomoći trgovačkom društvu </w:t>
      </w:r>
      <w:proofErr w:type="spellStart"/>
      <w:r>
        <w:t>Svenkom</w:t>
      </w:r>
      <w:proofErr w:type="spellEnd"/>
      <w:r>
        <w:t xml:space="preserve"> d.o.o.    (društvu u vlasništvu Grada)  za nabavu opreme.</w:t>
      </w:r>
    </w:p>
    <w:p w14:paraId="26719ECC" w14:textId="77777777" w:rsidR="009C6F8A" w:rsidRDefault="009C6F8A"/>
    <w:p w14:paraId="6FE5D192" w14:textId="77777777" w:rsidR="009C6F8A" w:rsidRDefault="00727BBA">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1772AF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5C99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33BA4B"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E7C3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FB02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C4C8B7"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54EF72" w14:textId="77777777" w:rsidR="009C6F8A" w:rsidRDefault="00727BBA">
            <w:pPr>
              <w:keepNext/>
              <w:keepLines/>
              <w:spacing w:after="0" w:line="240" w:lineRule="auto"/>
              <w:jc w:val="center"/>
            </w:pPr>
            <w:r>
              <w:rPr>
                <w:b/>
                <w:sz w:val="18"/>
              </w:rPr>
              <w:t>Indeks (%)</w:t>
            </w:r>
          </w:p>
        </w:tc>
      </w:tr>
      <w:tr w:rsidR="009C6F8A" w14:paraId="731BAD1B" w14:textId="77777777">
        <w:tblPrEx>
          <w:tblCellMar>
            <w:top w:w="0" w:type="dxa"/>
            <w:bottom w:w="0" w:type="dxa"/>
          </w:tblCellMar>
        </w:tblPrEx>
        <w:trPr>
          <w:cantSplit/>
          <w:trHeight w:val="560"/>
        </w:trPr>
        <w:tc>
          <w:tcPr>
            <w:tcW w:w="700" w:type="dxa"/>
            <w:tcMar>
              <w:top w:w="0" w:type="dxa"/>
              <w:bottom w:w="0" w:type="dxa"/>
            </w:tcMar>
            <w:vAlign w:val="center"/>
          </w:tcPr>
          <w:p w14:paraId="25C4699E" w14:textId="77777777" w:rsidR="009C6F8A" w:rsidRDefault="00727BBA">
            <w:pPr>
              <w:keepNext/>
              <w:keepLines/>
              <w:spacing w:after="0" w:line="240" w:lineRule="auto"/>
            </w:pPr>
            <w:r>
              <w:rPr>
                <w:sz w:val="18"/>
              </w:rPr>
              <w:t>711</w:t>
            </w:r>
          </w:p>
        </w:tc>
        <w:tc>
          <w:tcPr>
            <w:tcW w:w="3180" w:type="dxa"/>
            <w:tcMar>
              <w:top w:w="0" w:type="dxa"/>
              <w:bottom w:w="0" w:type="dxa"/>
            </w:tcMar>
            <w:vAlign w:val="center"/>
          </w:tcPr>
          <w:p w14:paraId="7B14A63D" w14:textId="77777777" w:rsidR="009C6F8A" w:rsidRDefault="00727BBA">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623A7C2D" w14:textId="77777777" w:rsidR="009C6F8A" w:rsidRDefault="00727BBA">
            <w:pPr>
              <w:keepNext/>
              <w:keepLines/>
              <w:spacing w:after="0" w:line="240" w:lineRule="auto"/>
            </w:pPr>
            <w:r>
              <w:rPr>
                <w:sz w:val="18"/>
              </w:rPr>
              <w:t>711</w:t>
            </w:r>
          </w:p>
        </w:tc>
        <w:tc>
          <w:tcPr>
            <w:tcW w:w="1860" w:type="dxa"/>
            <w:tcMar>
              <w:top w:w="0" w:type="dxa"/>
              <w:bottom w:w="0" w:type="dxa"/>
            </w:tcMar>
            <w:vAlign w:val="center"/>
          </w:tcPr>
          <w:p w14:paraId="78BABAA9" w14:textId="77777777" w:rsidR="009C6F8A" w:rsidRDefault="00727BBA">
            <w:pPr>
              <w:keepNext/>
              <w:keepLines/>
              <w:spacing w:after="0" w:line="240" w:lineRule="auto"/>
              <w:jc w:val="right"/>
            </w:pPr>
            <w:r>
              <w:rPr>
                <w:sz w:val="18"/>
              </w:rPr>
              <w:t>1.200,00</w:t>
            </w:r>
          </w:p>
        </w:tc>
        <w:tc>
          <w:tcPr>
            <w:tcW w:w="1860" w:type="dxa"/>
            <w:tcMar>
              <w:top w:w="0" w:type="dxa"/>
              <w:bottom w:w="0" w:type="dxa"/>
            </w:tcMar>
            <w:vAlign w:val="center"/>
          </w:tcPr>
          <w:p w14:paraId="2E97F050" w14:textId="77777777" w:rsidR="009C6F8A" w:rsidRDefault="00727BBA">
            <w:pPr>
              <w:keepNext/>
              <w:keepLines/>
              <w:spacing w:after="0" w:line="240" w:lineRule="auto"/>
              <w:jc w:val="right"/>
            </w:pPr>
            <w:r>
              <w:rPr>
                <w:sz w:val="18"/>
              </w:rPr>
              <w:t>13.005.645,00</w:t>
            </w:r>
          </w:p>
        </w:tc>
        <w:tc>
          <w:tcPr>
            <w:tcW w:w="700" w:type="dxa"/>
            <w:tcMar>
              <w:top w:w="0" w:type="dxa"/>
              <w:bottom w:w="0" w:type="dxa"/>
            </w:tcMar>
            <w:vAlign w:val="center"/>
          </w:tcPr>
          <w:p w14:paraId="15EAFDEA" w14:textId="77777777" w:rsidR="009C6F8A" w:rsidRDefault="00727BBA">
            <w:pPr>
              <w:keepNext/>
              <w:keepLines/>
              <w:spacing w:after="0" w:line="240" w:lineRule="auto"/>
              <w:jc w:val="right"/>
            </w:pPr>
            <w:r>
              <w:rPr>
                <w:sz w:val="18"/>
              </w:rPr>
              <w:t>&gt;&gt;100</w:t>
            </w:r>
          </w:p>
        </w:tc>
      </w:tr>
    </w:tbl>
    <w:p w14:paraId="07CCE05E" w14:textId="77777777" w:rsidR="009C6F8A" w:rsidRDefault="009C6F8A">
      <w:pPr>
        <w:spacing w:after="0"/>
      </w:pPr>
    </w:p>
    <w:p w14:paraId="59C83DDB" w14:textId="77777777" w:rsidR="009C6F8A" w:rsidRDefault="00727BBA">
      <w:r>
        <w:t>Prihodi od prodaje materijalne imovine -prirodnih bogatstava bilježe veliko povećanje  u odnosu na isto izvještajno razdoblje prošle godine iz razloga prodaje velikog kompleksa zemljišta  putem javnog natječaja.</w:t>
      </w:r>
    </w:p>
    <w:p w14:paraId="71F9CDE0" w14:textId="77777777" w:rsidR="009C6F8A" w:rsidRDefault="009C6F8A"/>
    <w:p w14:paraId="175C09FB" w14:textId="77777777" w:rsidR="009C6F8A" w:rsidRDefault="00727BB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FA460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F7A28C"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23AFD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CF8C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8012DB"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601003"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52FC44" w14:textId="77777777" w:rsidR="009C6F8A" w:rsidRDefault="00727BBA">
            <w:pPr>
              <w:keepNext/>
              <w:keepLines/>
              <w:spacing w:after="0" w:line="240" w:lineRule="auto"/>
              <w:jc w:val="center"/>
            </w:pPr>
            <w:r>
              <w:rPr>
                <w:b/>
                <w:sz w:val="18"/>
              </w:rPr>
              <w:t>Indeks (%)</w:t>
            </w:r>
          </w:p>
        </w:tc>
      </w:tr>
      <w:tr w:rsidR="009C6F8A" w14:paraId="4E3F6640" w14:textId="77777777">
        <w:tblPrEx>
          <w:tblCellMar>
            <w:top w:w="0" w:type="dxa"/>
            <w:bottom w:w="0" w:type="dxa"/>
          </w:tblCellMar>
        </w:tblPrEx>
        <w:trPr>
          <w:cantSplit/>
          <w:trHeight w:val="560"/>
        </w:trPr>
        <w:tc>
          <w:tcPr>
            <w:tcW w:w="700" w:type="dxa"/>
            <w:tcMar>
              <w:top w:w="0" w:type="dxa"/>
              <w:bottom w:w="0" w:type="dxa"/>
            </w:tcMar>
            <w:vAlign w:val="center"/>
          </w:tcPr>
          <w:p w14:paraId="7017A169" w14:textId="77777777" w:rsidR="009C6F8A" w:rsidRDefault="00727BBA">
            <w:pPr>
              <w:keepNext/>
              <w:keepLines/>
              <w:spacing w:after="0" w:line="240" w:lineRule="auto"/>
            </w:pPr>
            <w:r>
              <w:rPr>
                <w:sz w:val="18"/>
              </w:rPr>
              <w:t>411</w:t>
            </w:r>
          </w:p>
        </w:tc>
        <w:tc>
          <w:tcPr>
            <w:tcW w:w="3180" w:type="dxa"/>
            <w:tcMar>
              <w:top w:w="0" w:type="dxa"/>
              <w:bottom w:w="0" w:type="dxa"/>
            </w:tcMar>
            <w:vAlign w:val="center"/>
          </w:tcPr>
          <w:p w14:paraId="559823D7" w14:textId="77777777" w:rsidR="009C6F8A" w:rsidRDefault="00727BBA">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48A3E21F" w14:textId="77777777" w:rsidR="009C6F8A" w:rsidRDefault="00727BBA">
            <w:pPr>
              <w:keepNext/>
              <w:keepLines/>
              <w:spacing w:after="0" w:line="240" w:lineRule="auto"/>
            </w:pPr>
            <w:r>
              <w:rPr>
                <w:sz w:val="18"/>
              </w:rPr>
              <w:t>411</w:t>
            </w:r>
          </w:p>
        </w:tc>
        <w:tc>
          <w:tcPr>
            <w:tcW w:w="1860" w:type="dxa"/>
            <w:tcMar>
              <w:top w:w="0" w:type="dxa"/>
              <w:bottom w:w="0" w:type="dxa"/>
            </w:tcMar>
            <w:vAlign w:val="center"/>
          </w:tcPr>
          <w:p w14:paraId="52269222" w14:textId="77777777" w:rsidR="009C6F8A" w:rsidRDefault="00727BBA">
            <w:pPr>
              <w:keepNext/>
              <w:keepLines/>
              <w:spacing w:after="0" w:line="240" w:lineRule="auto"/>
              <w:jc w:val="right"/>
            </w:pPr>
            <w:r>
              <w:rPr>
                <w:sz w:val="18"/>
              </w:rPr>
              <w:t>106.797,90</w:t>
            </w:r>
          </w:p>
        </w:tc>
        <w:tc>
          <w:tcPr>
            <w:tcW w:w="1860" w:type="dxa"/>
            <w:tcMar>
              <w:top w:w="0" w:type="dxa"/>
              <w:bottom w:w="0" w:type="dxa"/>
            </w:tcMar>
            <w:vAlign w:val="center"/>
          </w:tcPr>
          <w:p w14:paraId="2CC0F825" w14:textId="77777777" w:rsidR="009C6F8A" w:rsidRDefault="00727BBA">
            <w:pPr>
              <w:keepNext/>
              <w:keepLines/>
              <w:spacing w:after="0" w:line="240" w:lineRule="auto"/>
              <w:jc w:val="right"/>
            </w:pPr>
            <w:r>
              <w:rPr>
                <w:sz w:val="18"/>
              </w:rPr>
              <w:t>40.417,75</w:t>
            </w:r>
          </w:p>
        </w:tc>
        <w:tc>
          <w:tcPr>
            <w:tcW w:w="700" w:type="dxa"/>
            <w:tcMar>
              <w:top w:w="0" w:type="dxa"/>
              <w:bottom w:w="0" w:type="dxa"/>
            </w:tcMar>
            <w:vAlign w:val="center"/>
          </w:tcPr>
          <w:p w14:paraId="01FC7C76" w14:textId="77777777" w:rsidR="009C6F8A" w:rsidRDefault="00727BBA">
            <w:pPr>
              <w:keepNext/>
              <w:keepLines/>
              <w:spacing w:after="0" w:line="240" w:lineRule="auto"/>
              <w:jc w:val="right"/>
            </w:pPr>
            <w:r>
              <w:rPr>
                <w:sz w:val="18"/>
              </w:rPr>
              <w:t>37,8</w:t>
            </w:r>
          </w:p>
        </w:tc>
      </w:tr>
    </w:tbl>
    <w:p w14:paraId="7142859C" w14:textId="77777777" w:rsidR="009C6F8A" w:rsidRDefault="009C6F8A">
      <w:pPr>
        <w:spacing w:after="0"/>
      </w:pPr>
    </w:p>
    <w:p w14:paraId="200C92C8" w14:textId="77777777" w:rsidR="009C6F8A" w:rsidRDefault="00727BBA">
      <w:r>
        <w:t>U izvještajnom razdoblju 2025. godine rashodi su manji za 62,2% u odnosu na isto izvještajno razdoblje prethodne godine i to zbog manjih rashoda  nabave zemljišta za izgradnju cesta.</w:t>
      </w:r>
    </w:p>
    <w:p w14:paraId="1D67C5B8" w14:textId="77777777" w:rsidR="009C6F8A" w:rsidRDefault="009C6F8A"/>
    <w:p w14:paraId="3118ED20" w14:textId="77777777" w:rsidR="009C6F8A" w:rsidRDefault="00727BBA">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93DC4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4DB0D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858470"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6AB3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2E706"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591B2"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31C34" w14:textId="77777777" w:rsidR="009C6F8A" w:rsidRDefault="00727BBA">
            <w:pPr>
              <w:keepNext/>
              <w:keepLines/>
              <w:spacing w:after="0" w:line="240" w:lineRule="auto"/>
              <w:jc w:val="center"/>
            </w:pPr>
            <w:r>
              <w:rPr>
                <w:b/>
                <w:sz w:val="18"/>
              </w:rPr>
              <w:t>Indeks (%)</w:t>
            </w:r>
          </w:p>
        </w:tc>
      </w:tr>
      <w:tr w:rsidR="009C6F8A" w14:paraId="761E88CE" w14:textId="77777777">
        <w:tblPrEx>
          <w:tblCellMar>
            <w:top w:w="0" w:type="dxa"/>
            <w:bottom w:w="0" w:type="dxa"/>
          </w:tblCellMar>
        </w:tblPrEx>
        <w:trPr>
          <w:cantSplit/>
          <w:trHeight w:val="560"/>
        </w:trPr>
        <w:tc>
          <w:tcPr>
            <w:tcW w:w="700" w:type="dxa"/>
            <w:tcMar>
              <w:top w:w="0" w:type="dxa"/>
              <w:bottom w:w="0" w:type="dxa"/>
            </w:tcMar>
            <w:vAlign w:val="center"/>
          </w:tcPr>
          <w:p w14:paraId="419A2152" w14:textId="77777777" w:rsidR="009C6F8A" w:rsidRDefault="00727BBA">
            <w:pPr>
              <w:keepNext/>
              <w:keepLines/>
              <w:spacing w:after="0" w:line="240" w:lineRule="auto"/>
            </w:pPr>
            <w:r>
              <w:rPr>
                <w:sz w:val="18"/>
              </w:rPr>
              <w:t>412</w:t>
            </w:r>
          </w:p>
        </w:tc>
        <w:tc>
          <w:tcPr>
            <w:tcW w:w="3180" w:type="dxa"/>
            <w:tcMar>
              <w:top w:w="0" w:type="dxa"/>
              <w:bottom w:w="0" w:type="dxa"/>
            </w:tcMar>
            <w:vAlign w:val="center"/>
          </w:tcPr>
          <w:p w14:paraId="50FD1FE1" w14:textId="77777777" w:rsidR="009C6F8A" w:rsidRDefault="00727BBA">
            <w:pPr>
              <w:keepNext/>
              <w:keepLines/>
              <w:spacing w:after="0" w:line="240" w:lineRule="auto"/>
            </w:pPr>
            <w:r>
              <w:rPr>
                <w:sz w:val="18"/>
              </w:rPr>
              <w:t>Nematerijalna imovina (šifre 4121 do 4126)</w:t>
            </w:r>
          </w:p>
        </w:tc>
        <w:tc>
          <w:tcPr>
            <w:tcW w:w="700" w:type="dxa"/>
            <w:tcMar>
              <w:top w:w="0" w:type="dxa"/>
              <w:bottom w:w="0" w:type="dxa"/>
            </w:tcMar>
            <w:vAlign w:val="center"/>
          </w:tcPr>
          <w:p w14:paraId="19BCD375" w14:textId="77777777" w:rsidR="009C6F8A" w:rsidRDefault="00727BBA">
            <w:pPr>
              <w:keepNext/>
              <w:keepLines/>
              <w:spacing w:after="0" w:line="240" w:lineRule="auto"/>
            </w:pPr>
            <w:r>
              <w:rPr>
                <w:sz w:val="18"/>
              </w:rPr>
              <w:t>412</w:t>
            </w:r>
          </w:p>
        </w:tc>
        <w:tc>
          <w:tcPr>
            <w:tcW w:w="1860" w:type="dxa"/>
            <w:tcMar>
              <w:top w:w="0" w:type="dxa"/>
              <w:bottom w:w="0" w:type="dxa"/>
            </w:tcMar>
            <w:vAlign w:val="center"/>
          </w:tcPr>
          <w:p w14:paraId="7C08E560" w14:textId="77777777" w:rsidR="009C6F8A" w:rsidRDefault="00727BBA">
            <w:pPr>
              <w:keepNext/>
              <w:keepLines/>
              <w:spacing w:after="0" w:line="240" w:lineRule="auto"/>
              <w:jc w:val="right"/>
            </w:pPr>
            <w:r>
              <w:rPr>
                <w:sz w:val="18"/>
              </w:rPr>
              <w:t>41.795,99</w:t>
            </w:r>
          </w:p>
        </w:tc>
        <w:tc>
          <w:tcPr>
            <w:tcW w:w="1860" w:type="dxa"/>
            <w:tcMar>
              <w:top w:w="0" w:type="dxa"/>
              <w:bottom w:w="0" w:type="dxa"/>
            </w:tcMar>
            <w:vAlign w:val="center"/>
          </w:tcPr>
          <w:p w14:paraId="7C5484B7" w14:textId="77777777" w:rsidR="009C6F8A" w:rsidRDefault="00727BBA">
            <w:pPr>
              <w:keepNext/>
              <w:keepLines/>
              <w:spacing w:after="0" w:line="240" w:lineRule="auto"/>
              <w:jc w:val="right"/>
            </w:pPr>
            <w:r>
              <w:rPr>
                <w:sz w:val="18"/>
              </w:rPr>
              <w:t>157.408,17</w:t>
            </w:r>
          </w:p>
        </w:tc>
        <w:tc>
          <w:tcPr>
            <w:tcW w:w="700" w:type="dxa"/>
            <w:tcMar>
              <w:top w:w="0" w:type="dxa"/>
              <w:bottom w:w="0" w:type="dxa"/>
            </w:tcMar>
            <w:vAlign w:val="center"/>
          </w:tcPr>
          <w:p w14:paraId="51744F99" w14:textId="77777777" w:rsidR="009C6F8A" w:rsidRDefault="00727BBA">
            <w:pPr>
              <w:keepNext/>
              <w:keepLines/>
              <w:spacing w:after="0" w:line="240" w:lineRule="auto"/>
              <w:jc w:val="right"/>
            </w:pPr>
            <w:r>
              <w:rPr>
                <w:sz w:val="18"/>
              </w:rPr>
              <w:t>376,6</w:t>
            </w:r>
          </w:p>
        </w:tc>
      </w:tr>
    </w:tbl>
    <w:p w14:paraId="0C733A14" w14:textId="77777777" w:rsidR="009C6F8A" w:rsidRDefault="009C6F8A">
      <w:pPr>
        <w:spacing w:after="0"/>
      </w:pPr>
    </w:p>
    <w:p w14:paraId="3B87D2D4" w14:textId="77777777" w:rsidR="009C6F8A" w:rsidRDefault="00727BBA">
      <w:r>
        <w:t xml:space="preserve">U izvještajnom razdoblju 2025. godine rashodi su veći za 276,60% u odnosu na isto izvještajno razdoblje prethodne  godine zbog većeg ulaganja u 2025.godini  na uređenje pješačkog prijelaza na  državnoj cesti -ulici dr. Franje Tuđmana i </w:t>
      </w:r>
      <w:proofErr w:type="spellStart"/>
      <w:r>
        <w:t>novelaciju</w:t>
      </w:r>
      <w:proofErr w:type="spellEnd"/>
      <w:r>
        <w:t xml:space="preserve"> prometne signalizacije  i opreme na županijskog cesti u naselju Kerestinec koje je započeto u 2024.godini te zbog nabave licenci za redovno poslovanje upravnih odjela Gradske uprave.</w:t>
      </w:r>
    </w:p>
    <w:p w14:paraId="64AFE661" w14:textId="77777777" w:rsidR="009C6F8A" w:rsidRDefault="009C6F8A"/>
    <w:p w14:paraId="4B260F7F" w14:textId="77777777" w:rsidR="009C6F8A" w:rsidRDefault="00727BBA">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8E6FF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2D696F"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32892F"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5C35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2BBFD"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52B048"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165B1" w14:textId="77777777" w:rsidR="009C6F8A" w:rsidRDefault="00727BBA">
            <w:pPr>
              <w:keepNext/>
              <w:keepLines/>
              <w:spacing w:after="0" w:line="240" w:lineRule="auto"/>
              <w:jc w:val="center"/>
            </w:pPr>
            <w:r>
              <w:rPr>
                <w:b/>
                <w:sz w:val="18"/>
              </w:rPr>
              <w:t>Indeks (%)</w:t>
            </w:r>
          </w:p>
        </w:tc>
      </w:tr>
      <w:tr w:rsidR="009C6F8A" w14:paraId="28D89104" w14:textId="77777777">
        <w:tblPrEx>
          <w:tblCellMar>
            <w:top w:w="0" w:type="dxa"/>
            <w:bottom w:w="0" w:type="dxa"/>
          </w:tblCellMar>
        </w:tblPrEx>
        <w:trPr>
          <w:cantSplit/>
          <w:trHeight w:val="560"/>
        </w:trPr>
        <w:tc>
          <w:tcPr>
            <w:tcW w:w="700" w:type="dxa"/>
            <w:tcMar>
              <w:top w:w="0" w:type="dxa"/>
              <w:bottom w:w="0" w:type="dxa"/>
            </w:tcMar>
            <w:vAlign w:val="center"/>
          </w:tcPr>
          <w:p w14:paraId="20DA62A9" w14:textId="77777777" w:rsidR="009C6F8A" w:rsidRDefault="00727BBA">
            <w:pPr>
              <w:keepNext/>
              <w:keepLines/>
              <w:spacing w:after="0" w:line="240" w:lineRule="auto"/>
            </w:pPr>
            <w:r>
              <w:rPr>
                <w:sz w:val="18"/>
              </w:rPr>
              <w:t>421</w:t>
            </w:r>
          </w:p>
        </w:tc>
        <w:tc>
          <w:tcPr>
            <w:tcW w:w="3180" w:type="dxa"/>
            <w:tcMar>
              <w:top w:w="0" w:type="dxa"/>
              <w:bottom w:w="0" w:type="dxa"/>
            </w:tcMar>
            <w:vAlign w:val="center"/>
          </w:tcPr>
          <w:p w14:paraId="7507BA45" w14:textId="77777777" w:rsidR="009C6F8A" w:rsidRDefault="00727BBA">
            <w:pPr>
              <w:keepNext/>
              <w:keepLines/>
              <w:spacing w:after="0" w:line="240" w:lineRule="auto"/>
            </w:pPr>
            <w:r>
              <w:rPr>
                <w:sz w:val="18"/>
              </w:rPr>
              <w:t>Građevinski objekti (šifre 4211 do 4214)</w:t>
            </w:r>
          </w:p>
        </w:tc>
        <w:tc>
          <w:tcPr>
            <w:tcW w:w="700" w:type="dxa"/>
            <w:tcMar>
              <w:top w:w="0" w:type="dxa"/>
              <w:bottom w:w="0" w:type="dxa"/>
            </w:tcMar>
            <w:vAlign w:val="center"/>
          </w:tcPr>
          <w:p w14:paraId="4481D0D8" w14:textId="77777777" w:rsidR="009C6F8A" w:rsidRDefault="00727BBA">
            <w:pPr>
              <w:keepNext/>
              <w:keepLines/>
              <w:spacing w:after="0" w:line="240" w:lineRule="auto"/>
            </w:pPr>
            <w:r>
              <w:rPr>
                <w:sz w:val="18"/>
              </w:rPr>
              <w:t>421</w:t>
            </w:r>
          </w:p>
        </w:tc>
        <w:tc>
          <w:tcPr>
            <w:tcW w:w="1860" w:type="dxa"/>
            <w:tcMar>
              <w:top w:w="0" w:type="dxa"/>
              <w:bottom w:w="0" w:type="dxa"/>
            </w:tcMar>
            <w:vAlign w:val="center"/>
          </w:tcPr>
          <w:p w14:paraId="4335B7F9" w14:textId="77777777" w:rsidR="009C6F8A" w:rsidRDefault="00727BBA">
            <w:pPr>
              <w:keepNext/>
              <w:keepLines/>
              <w:spacing w:after="0" w:line="240" w:lineRule="auto"/>
              <w:jc w:val="right"/>
            </w:pPr>
            <w:r>
              <w:rPr>
                <w:sz w:val="18"/>
              </w:rPr>
              <w:t>3.406.054,03</w:t>
            </w:r>
          </w:p>
        </w:tc>
        <w:tc>
          <w:tcPr>
            <w:tcW w:w="1860" w:type="dxa"/>
            <w:tcMar>
              <w:top w:w="0" w:type="dxa"/>
              <w:bottom w:w="0" w:type="dxa"/>
            </w:tcMar>
            <w:vAlign w:val="center"/>
          </w:tcPr>
          <w:p w14:paraId="7EDFAC90" w14:textId="77777777" w:rsidR="009C6F8A" w:rsidRDefault="00727BBA">
            <w:pPr>
              <w:keepNext/>
              <w:keepLines/>
              <w:spacing w:after="0" w:line="240" w:lineRule="auto"/>
              <w:jc w:val="right"/>
            </w:pPr>
            <w:r>
              <w:rPr>
                <w:sz w:val="18"/>
              </w:rPr>
              <w:t>8.841.777,66</w:t>
            </w:r>
          </w:p>
        </w:tc>
        <w:tc>
          <w:tcPr>
            <w:tcW w:w="700" w:type="dxa"/>
            <w:tcMar>
              <w:top w:w="0" w:type="dxa"/>
              <w:bottom w:w="0" w:type="dxa"/>
            </w:tcMar>
            <w:vAlign w:val="center"/>
          </w:tcPr>
          <w:p w14:paraId="65EBF9BC" w14:textId="77777777" w:rsidR="009C6F8A" w:rsidRDefault="00727BBA">
            <w:pPr>
              <w:keepNext/>
              <w:keepLines/>
              <w:spacing w:after="0" w:line="240" w:lineRule="auto"/>
              <w:jc w:val="right"/>
            </w:pPr>
            <w:r>
              <w:rPr>
                <w:sz w:val="18"/>
              </w:rPr>
              <w:t>259,6</w:t>
            </w:r>
          </w:p>
        </w:tc>
      </w:tr>
    </w:tbl>
    <w:p w14:paraId="174019A0" w14:textId="77777777" w:rsidR="009C6F8A" w:rsidRDefault="009C6F8A">
      <w:pPr>
        <w:spacing w:after="0"/>
      </w:pPr>
    </w:p>
    <w:p w14:paraId="1123DA6E" w14:textId="77777777" w:rsidR="009C6F8A" w:rsidRDefault="00727BBA">
      <w:r>
        <w:t xml:space="preserve">U izvještajnom razdoblju 2025. godine rashodi su  veći za 159,60% u odnosu na  isto razdoblje  prethodne godine. Najveće povećanje iskazano je na gradnji sportske dvorane u Kerestincu koja je započeta krajem 2024 godine,  gradnji nogostupa, izgradnji biciklističke staze u Svetoj </w:t>
      </w:r>
      <w:proofErr w:type="spellStart"/>
      <w:r>
        <w:t>Nedelji</w:t>
      </w:r>
      <w:proofErr w:type="spellEnd"/>
      <w:r>
        <w:t xml:space="preserve">, gradnji javne rasvjete,  uređenju javnih površina uz ulicu </w:t>
      </w:r>
      <w:proofErr w:type="spellStart"/>
      <w:r>
        <w:t>dr.F.Tuđmana</w:t>
      </w:r>
      <w:proofErr w:type="spellEnd"/>
      <w:r>
        <w:t xml:space="preserve"> (biciklističke staze, oborinska odvodnja u </w:t>
      </w:r>
      <w:proofErr w:type="spellStart"/>
      <w:r>
        <w:t>Javorskoj</w:t>
      </w:r>
      <w:proofErr w:type="spellEnd"/>
      <w:r>
        <w:t xml:space="preserve"> i Industrijskoj ulici) ,uređenju dječjeg igrališta Gmajna u Rakitju, uređenju parka u DV Slavuj - objekt Strmec koji su novi projekti  u 2025. godini.</w:t>
      </w:r>
    </w:p>
    <w:p w14:paraId="277F767E" w14:textId="77777777" w:rsidR="009C6F8A" w:rsidRDefault="009C6F8A"/>
    <w:p w14:paraId="5FF19304" w14:textId="77777777" w:rsidR="009C6F8A" w:rsidRDefault="00727BBA">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D45C9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1F91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DDABC4"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1351D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36DA68"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657795"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A98AFC" w14:textId="77777777" w:rsidR="009C6F8A" w:rsidRDefault="00727BBA">
            <w:pPr>
              <w:keepNext/>
              <w:keepLines/>
              <w:spacing w:after="0" w:line="240" w:lineRule="auto"/>
              <w:jc w:val="center"/>
            </w:pPr>
            <w:r>
              <w:rPr>
                <w:b/>
                <w:sz w:val="18"/>
              </w:rPr>
              <w:t>Indeks (%)</w:t>
            </w:r>
          </w:p>
        </w:tc>
      </w:tr>
      <w:tr w:rsidR="009C6F8A" w14:paraId="32EFAA7C" w14:textId="77777777">
        <w:tblPrEx>
          <w:tblCellMar>
            <w:top w:w="0" w:type="dxa"/>
            <w:bottom w:w="0" w:type="dxa"/>
          </w:tblCellMar>
        </w:tblPrEx>
        <w:trPr>
          <w:cantSplit/>
          <w:trHeight w:val="560"/>
        </w:trPr>
        <w:tc>
          <w:tcPr>
            <w:tcW w:w="700" w:type="dxa"/>
            <w:tcMar>
              <w:top w:w="0" w:type="dxa"/>
              <w:bottom w:w="0" w:type="dxa"/>
            </w:tcMar>
            <w:vAlign w:val="center"/>
          </w:tcPr>
          <w:p w14:paraId="2941B9E7" w14:textId="77777777" w:rsidR="009C6F8A" w:rsidRDefault="00727BBA">
            <w:pPr>
              <w:keepNext/>
              <w:keepLines/>
              <w:spacing w:after="0" w:line="240" w:lineRule="auto"/>
            </w:pPr>
            <w:r>
              <w:rPr>
                <w:sz w:val="18"/>
              </w:rPr>
              <w:t>422</w:t>
            </w:r>
          </w:p>
        </w:tc>
        <w:tc>
          <w:tcPr>
            <w:tcW w:w="3180" w:type="dxa"/>
            <w:tcMar>
              <w:top w:w="0" w:type="dxa"/>
              <w:bottom w:w="0" w:type="dxa"/>
            </w:tcMar>
            <w:vAlign w:val="center"/>
          </w:tcPr>
          <w:p w14:paraId="59858E56" w14:textId="77777777" w:rsidR="009C6F8A" w:rsidRDefault="00727BBA">
            <w:pPr>
              <w:keepNext/>
              <w:keepLines/>
              <w:spacing w:after="0" w:line="240" w:lineRule="auto"/>
            </w:pPr>
            <w:r>
              <w:rPr>
                <w:sz w:val="18"/>
              </w:rPr>
              <w:t>Postrojenja i oprema (šifre 4221 do 4228)</w:t>
            </w:r>
          </w:p>
        </w:tc>
        <w:tc>
          <w:tcPr>
            <w:tcW w:w="700" w:type="dxa"/>
            <w:tcMar>
              <w:top w:w="0" w:type="dxa"/>
              <w:bottom w:w="0" w:type="dxa"/>
            </w:tcMar>
            <w:vAlign w:val="center"/>
          </w:tcPr>
          <w:p w14:paraId="73B254A7" w14:textId="77777777" w:rsidR="009C6F8A" w:rsidRDefault="00727BBA">
            <w:pPr>
              <w:keepNext/>
              <w:keepLines/>
              <w:spacing w:after="0" w:line="240" w:lineRule="auto"/>
            </w:pPr>
            <w:r>
              <w:rPr>
                <w:sz w:val="18"/>
              </w:rPr>
              <w:t>422</w:t>
            </w:r>
          </w:p>
        </w:tc>
        <w:tc>
          <w:tcPr>
            <w:tcW w:w="1860" w:type="dxa"/>
            <w:tcMar>
              <w:top w:w="0" w:type="dxa"/>
              <w:bottom w:w="0" w:type="dxa"/>
            </w:tcMar>
            <w:vAlign w:val="center"/>
          </w:tcPr>
          <w:p w14:paraId="1B667B96" w14:textId="77777777" w:rsidR="009C6F8A" w:rsidRDefault="00727BBA">
            <w:pPr>
              <w:keepNext/>
              <w:keepLines/>
              <w:spacing w:after="0" w:line="240" w:lineRule="auto"/>
              <w:jc w:val="right"/>
            </w:pPr>
            <w:r>
              <w:rPr>
                <w:sz w:val="18"/>
              </w:rPr>
              <w:t>406.122,70</w:t>
            </w:r>
          </w:p>
        </w:tc>
        <w:tc>
          <w:tcPr>
            <w:tcW w:w="1860" w:type="dxa"/>
            <w:tcMar>
              <w:top w:w="0" w:type="dxa"/>
              <w:bottom w:w="0" w:type="dxa"/>
            </w:tcMar>
            <w:vAlign w:val="center"/>
          </w:tcPr>
          <w:p w14:paraId="459FF924" w14:textId="77777777" w:rsidR="009C6F8A" w:rsidRDefault="00727BBA">
            <w:pPr>
              <w:keepNext/>
              <w:keepLines/>
              <w:spacing w:after="0" w:line="240" w:lineRule="auto"/>
              <w:jc w:val="right"/>
            </w:pPr>
            <w:r>
              <w:rPr>
                <w:sz w:val="18"/>
              </w:rPr>
              <w:t>834.821,49</w:t>
            </w:r>
          </w:p>
        </w:tc>
        <w:tc>
          <w:tcPr>
            <w:tcW w:w="700" w:type="dxa"/>
            <w:tcMar>
              <w:top w:w="0" w:type="dxa"/>
              <w:bottom w:w="0" w:type="dxa"/>
            </w:tcMar>
            <w:vAlign w:val="center"/>
          </w:tcPr>
          <w:p w14:paraId="2525B724" w14:textId="77777777" w:rsidR="009C6F8A" w:rsidRDefault="00727BBA">
            <w:pPr>
              <w:keepNext/>
              <w:keepLines/>
              <w:spacing w:after="0" w:line="240" w:lineRule="auto"/>
              <w:jc w:val="right"/>
            </w:pPr>
            <w:r>
              <w:rPr>
                <w:sz w:val="18"/>
              </w:rPr>
              <w:t>205,6</w:t>
            </w:r>
          </w:p>
        </w:tc>
      </w:tr>
    </w:tbl>
    <w:p w14:paraId="2F6C18AF" w14:textId="77777777" w:rsidR="009C6F8A" w:rsidRDefault="009C6F8A">
      <w:pPr>
        <w:spacing w:after="0"/>
      </w:pPr>
    </w:p>
    <w:p w14:paraId="60FBCFE8" w14:textId="77777777" w:rsidR="009C6F8A" w:rsidRDefault="00727BBA">
      <w:pPr>
        <w:jc w:val="both"/>
      </w:pPr>
      <w:r>
        <w:t xml:space="preserve">U izvještajnom razdoblju 2025.godine rashodi su veći za 105,60% u odnosu na isto izvještajno razdoblje prethodne godine i to najvećim dijelom kod  Grada a odnose se na nabavu opreme i namještaja za novoizgrađeni dio zgrade DV Slavuj u Novakima-Rakitju i za novoizgrađeni dio zgrade DV Slavuj- matični objekt u Strmcu, koji su započeti u 2024. godini. Osim navedenog u 2025. godini najznačajnija su ulaganja za nabavu </w:t>
      </w:r>
      <w:proofErr w:type="spellStart"/>
      <w:r>
        <w:t>kompostera</w:t>
      </w:r>
      <w:proofErr w:type="spellEnd"/>
      <w:r>
        <w:t xml:space="preserve"> , nabavu opreme za park Ljudevita Gaja u Brezju,  nabavu opreme za dječje igralište u ulici Gmajna u Rakitju, nabavu opreme za modernizaciju javne rasvjete , opreme za uređenje parka </w:t>
      </w:r>
      <w:r>
        <w:lastRenderedPageBreak/>
        <w:t xml:space="preserve">u DV Slavuj u Strmcu, autobusnih nadstrešnica i druge opreme.  Kod DV Slavuj povećanje se odnosi na nabavu komunikacijske opreme i za nabavu uređaja i strojeva za ostale namjene ( oprema za kuhinju). Kod Knjižnice Mihaela Šiloboda </w:t>
      </w:r>
      <w:proofErr w:type="spellStart"/>
      <w:r>
        <w:t>povaćani</w:t>
      </w:r>
      <w:proofErr w:type="spellEnd"/>
      <w:r>
        <w:t xml:space="preserve"> su rashodi za nabavu uredske opreme i namještaja.</w:t>
      </w:r>
    </w:p>
    <w:p w14:paraId="3763EB6C" w14:textId="77777777" w:rsidR="009C6F8A" w:rsidRDefault="009C6F8A"/>
    <w:p w14:paraId="0F4B568B" w14:textId="77777777" w:rsidR="009C6F8A" w:rsidRDefault="00727BBA">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86983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43D0D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AF8061"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DCCC86"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F0EDE"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0A1A7D"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6FDF6" w14:textId="77777777" w:rsidR="009C6F8A" w:rsidRDefault="00727BBA">
            <w:pPr>
              <w:keepNext/>
              <w:keepLines/>
              <w:spacing w:after="0" w:line="240" w:lineRule="auto"/>
              <w:jc w:val="center"/>
            </w:pPr>
            <w:r>
              <w:rPr>
                <w:b/>
                <w:sz w:val="18"/>
              </w:rPr>
              <w:t>Indeks (%)</w:t>
            </w:r>
          </w:p>
        </w:tc>
      </w:tr>
      <w:tr w:rsidR="009C6F8A" w14:paraId="407504BF" w14:textId="77777777">
        <w:tblPrEx>
          <w:tblCellMar>
            <w:top w:w="0" w:type="dxa"/>
            <w:bottom w:w="0" w:type="dxa"/>
          </w:tblCellMar>
        </w:tblPrEx>
        <w:trPr>
          <w:cantSplit/>
          <w:trHeight w:val="560"/>
        </w:trPr>
        <w:tc>
          <w:tcPr>
            <w:tcW w:w="700" w:type="dxa"/>
            <w:tcMar>
              <w:top w:w="0" w:type="dxa"/>
              <w:bottom w:w="0" w:type="dxa"/>
            </w:tcMar>
            <w:vAlign w:val="center"/>
          </w:tcPr>
          <w:p w14:paraId="62F833AE" w14:textId="77777777" w:rsidR="009C6F8A" w:rsidRDefault="00727BBA">
            <w:pPr>
              <w:keepNext/>
              <w:keepLines/>
              <w:spacing w:after="0" w:line="240" w:lineRule="auto"/>
            </w:pPr>
            <w:r>
              <w:rPr>
                <w:sz w:val="18"/>
              </w:rPr>
              <w:t>425</w:t>
            </w:r>
          </w:p>
        </w:tc>
        <w:tc>
          <w:tcPr>
            <w:tcW w:w="3180" w:type="dxa"/>
            <w:tcMar>
              <w:top w:w="0" w:type="dxa"/>
              <w:bottom w:w="0" w:type="dxa"/>
            </w:tcMar>
            <w:vAlign w:val="center"/>
          </w:tcPr>
          <w:p w14:paraId="66E386B4" w14:textId="77777777" w:rsidR="009C6F8A" w:rsidRDefault="00727BBA">
            <w:pPr>
              <w:keepNext/>
              <w:keepLines/>
              <w:spacing w:after="0" w:line="240" w:lineRule="auto"/>
            </w:pPr>
            <w:r>
              <w:rPr>
                <w:sz w:val="18"/>
              </w:rPr>
              <w:t>Višegodišnji nasadi i osnovno stado (šifre 4251+4252)</w:t>
            </w:r>
          </w:p>
        </w:tc>
        <w:tc>
          <w:tcPr>
            <w:tcW w:w="700" w:type="dxa"/>
            <w:tcMar>
              <w:top w:w="0" w:type="dxa"/>
              <w:bottom w:w="0" w:type="dxa"/>
            </w:tcMar>
            <w:vAlign w:val="center"/>
          </w:tcPr>
          <w:p w14:paraId="41B3A831" w14:textId="77777777" w:rsidR="009C6F8A" w:rsidRDefault="00727BBA">
            <w:pPr>
              <w:keepNext/>
              <w:keepLines/>
              <w:spacing w:after="0" w:line="240" w:lineRule="auto"/>
            </w:pPr>
            <w:r>
              <w:rPr>
                <w:sz w:val="18"/>
              </w:rPr>
              <w:t>425</w:t>
            </w:r>
          </w:p>
        </w:tc>
        <w:tc>
          <w:tcPr>
            <w:tcW w:w="1860" w:type="dxa"/>
            <w:tcMar>
              <w:top w:w="0" w:type="dxa"/>
              <w:bottom w:w="0" w:type="dxa"/>
            </w:tcMar>
            <w:vAlign w:val="center"/>
          </w:tcPr>
          <w:p w14:paraId="244842DC" w14:textId="77777777" w:rsidR="009C6F8A" w:rsidRDefault="00727BBA">
            <w:pPr>
              <w:keepNext/>
              <w:keepLines/>
              <w:spacing w:after="0" w:line="240" w:lineRule="auto"/>
              <w:jc w:val="right"/>
            </w:pPr>
            <w:r>
              <w:rPr>
                <w:sz w:val="18"/>
              </w:rPr>
              <w:t>0,00</w:t>
            </w:r>
          </w:p>
        </w:tc>
        <w:tc>
          <w:tcPr>
            <w:tcW w:w="1860" w:type="dxa"/>
            <w:tcMar>
              <w:top w:w="0" w:type="dxa"/>
              <w:bottom w:w="0" w:type="dxa"/>
            </w:tcMar>
            <w:vAlign w:val="center"/>
          </w:tcPr>
          <w:p w14:paraId="0339AA59" w14:textId="77777777" w:rsidR="009C6F8A" w:rsidRDefault="00727BBA">
            <w:pPr>
              <w:keepNext/>
              <w:keepLines/>
              <w:spacing w:after="0" w:line="240" w:lineRule="auto"/>
              <w:jc w:val="right"/>
            </w:pPr>
            <w:r>
              <w:rPr>
                <w:sz w:val="18"/>
              </w:rPr>
              <w:t>22.378,76</w:t>
            </w:r>
          </w:p>
        </w:tc>
        <w:tc>
          <w:tcPr>
            <w:tcW w:w="700" w:type="dxa"/>
            <w:tcMar>
              <w:top w:w="0" w:type="dxa"/>
              <w:bottom w:w="0" w:type="dxa"/>
            </w:tcMar>
            <w:vAlign w:val="center"/>
          </w:tcPr>
          <w:p w14:paraId="5648C331" w14:textId="77777777" w:rsidR="009C6F8A" w:rsidRDefault="00727BBA">
            <w:pPr>
              <w:keepNext/>
              <w:keepLines/>
              <w:spacing w:after="0" w:line="240" w:lineRule="auto"/>
              <w:jc w:val="right"/>
            </w:pPr>
            <w:r>
              <w:rPr>
                <w:sz w:val="18"/>
              </w:rPr>
              <w:t>-</w:t>
            </w:r>
          </w:p>
        </w:tc>
      </w:tr>
    </w:tbl>
    <w:p w14:paraId="6443EAFA" w14:textId="77777777" w:rsidR="009C6F8A" w:rsidRDefault="009C6F8A">
      <w:pPr>
        <w:spacing w:after="0"/>
      </w:pPr>
    </w:p>
    <w:p w14:paraId="1C9A5FA0" w14:textId="77777777" w:rsidR="009C6F8A" w:rsidRDefault="00727BBA">
      <w:r>
        <w:t>Rashodi za višegodišnje nasade odnose se na krajobrazno uređenje dječjeg igrališta u ulici Gmajna u Rakitju  i sadnju drveća na raznim lokacijama Grada Svete Nedelje u sklopu projekta od izvora do mora.</w:t>
      </w:r>
    </w:p>
    <w:p w14:paraId="695338B1" w14:textId="77777777" w:rsidR="009C6F8A" w:rsidRDefault="009C6F8A"/>
    <w:p w14:paraId="38B2C7A7" w14:textId="77777777" w:rsidR="009C6F8A" w:rsidRDefault="00727BBA">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2F1937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A213FB"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E55483"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7CE47"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14579"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2F7F7"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5FA3BC" w14:textId="77777777" w:rsidR="009C6F8A" w:rsidRDefault="00727BBA">
            <w:pPr>
              <w:keepNext/>
              <w:keepLines/>
              <w:spacing w:after="0" w:line="240" w:lineRule="auto"/>
              <w:jc w:val="center"/>
            </w:pPr>
            <w:r>
              <w:rPr>
                <w:b/>
                <w:sz w:val="18"/>
              </w:rPr>
              <w:t>Indeks (%)</w:t>
            </w:r>
          </w:p>
        </w:tc>
      </w:tr>
      <w:tr w:rsidR="009C6F8A" w14:paraId="1C009ABD" w14:textId="77777777">
        <w:tblPrEx>
          <w:tblCellMar>
            <w:top w:w="0" w:type="dxa"/>
            <w:bottom w:w="0" w:type="dxa"/>
          </w:tblCellMar>
        </w:tblPrEx>
        <w:trPr>
          <w:cantSplit/>
          <w:trHeight w:val="560"/>
        </w:trPr>
        <w:tc>
          <w:tcPr>
            <w:tcW w:w="700" w:type="dxa"/>
            <w:tcMar>
              <w:top w:w="0" w:type="dxa"/>
              <w:bottom w:w="0" w:type="dxa"/>
            </w:tcMar>
            <w:vAlign w:val="center"/>
          </w:tcPr>
          <w:p w14:paraId="7570C336" w14:textId="77777777" w:rsidR="009C6F8A" w:rsidRDefault="00727BBA">
            <w:pPr>
              <w:keepNext/>
              <w:keepLines/>
              <w:spacing w:after="0" w:line="240" w:lineRule="auto"/>
            </w:pPr>
            <w:r>
              <w:rPr>
                <w:sz w:val="18"/>
              </w:rPr>
              <w:t>426</w:t>
            </w:r>
          </w:p>
        </w:tc>
        <w:tc>
          <w:tcPr>
            <w:tcW w:w="3180" w:type="dxa"/>
            <w:tcMar>
              <w:top w:w="0" w:type="dxa"/>
              <w:bottom w:w="0" w:type="dxa"/>
            </w:tcMar>
            <w:vAlign w:val="center"/>
          </w:tcPr>
          <w:p w14:paraId="01FDF4AB" w14:textId="77777777" w:rsidR="009C6F8A" w:rsidRDefault="00727BBA">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069FF5F4" w14:textId="77777777" w:rsidR="009C6F8A" w:rsidRDefault="00727BBA">
            <w:pPr>
              <w:keepNext/>
              <w:keepLines/>
              <w:spacing w:after="0" w:line="240" w:lineRule="auto"/>
            </w:pPr>
            <w:r>
              <w:rPr>
                <w:sz w:val="18"/>
              </w:rPr>
              <w:t>426</w:t>
            </w:r>
          </w:p>
        </w:tc>
        <w:tc>
          <w:tcPr>
            <w:tcW w:w="1860" w:type="dxa"/>
            <w:tcMar>
              <w:top w:w="0" w:type="dxa"/>
              <w:bottom w:w="0" w:type="dxa"/>
            </w:tcMar>
            <w:vAlign w:val="center"/>
          </w:tcPr>
          <w:p w14:paraId="41AB3D1A" w14:textId="77777777" w:rsidR="009C6F8A" w:rsidRDefault="00727BBA">
            <w:pPr>
              <w:keepNext/>
              <w:keepLines/>
              <w:spacing w:after="0" w:line="240" w:lineRule="auto"/>
              <w:jc w:val="right"/>
            </w:pPr>
            <w:r>
              <w:rPr>
                <w:sz w:val="18"/>
              </w:rPr>
              <w:t>343.022,03</w:t>
            </w:r>
          </w:p>
        </w:tc>
        <w:tc>
          <w:tcPr>
            <w:tcW w:w="1860" w:type="dxa"/>
            <w:tcMar>
              <w:top w:w="0" w:type="dxa"/>
              <w:bottom w:w="0" w:type="dxa"/>
            </w:tcMar>
            <w:vAlign w:val="center"/>
          </w:tcPr>
          <w:p w14:paraId="6153E666" w14:textId="77777777" w:rsidR="009C6F8A" w:rsidRDefault="00727BBA">
            <w:pPr>
              <w:keepNext/>
              <w:keepLines/>
              <w:spacing w:after="0" w:line="240" w:lineRule="auto"/>
              <w:jc w:val="right"/>
            </w:pPr>
            <w:r>
              <w:rPr>
                <w:sz w:val="18"/>
              </w:rPr>
              <w:t>123.024,50</w:t>
            </w:r>
          </w:p>
        </w:tc>
        <w:tc>
          <w:tcPr>
            <w:tcW w:w="700" w:type="dxa"/>
            <w:tcMar>
              <w:top w:w="0" w:type="dxa"/>
              <w:bottom w:w="0" w:type="dxa"/>
            </w:tcMar>
            <w:vAlign w:val="center"/>
          </w:tcPr>
          <w:p w14:paraId="6ABAD169" w14:textId="77777777" w:rsidR="009C6F8A" w:rsidRDefault="00727BBA">
            <w:pPr>
              <w:keepNext/>
              <w:keepLines/>
              <w:spacing w:after="0" w:line="240" w:lineRule="auto"/>
              <w:jc w:val="right"/>
            </w:pPr>
            <w:r>
              <w:rPr>
                <w:sz w:val="18"/>
              </w:rPr>
              <w:t>35,9</w:t>
            </w:r>
          </w:p>
        </w:tc>
      </w:tr>
    </w:tbl>
    <w:p w14:paraId="5E3D0639" w14:textId="77777777" w:rsidR="009C6F8A" w:rsidRDefault="009C6F8A">
      <w:pPr>
        <w:spacing w:after="0"/>
      </w:pPr>
    </w:p>
    <w:p w14:paraId="66249012" w14:textId="77777777" w:rsidR="009C6F8A" w:rsidRDefault="00727BBA">
      <w:r>
        <w:t>U ovom izvještajnom razdoblju su rashodi manji u odnosu na isto izvještajno razdoblje prošle godine za 64,1%  jer je manje sredstava utrošeno  za projekt izrada dokumentacije  tijekom faze istraživanja geotermalne vode, za izradu projektne dokumentacije za građevinske objekte u vlasništvu Grada kao i za izradu  dokumenata prostornih planova.</w:t>
      </w:r>
    </w:p>
    <w:p w14:paraId="23B7FACD" w14:textId="77777777" w:rsidR="009C6F8A" w:rsidRDefault="009C6F8A"/>
    <w:p w14:paraId="641D5267" w14:textId="77777777" w:rsidR="009C6F8A" w:rsidRDefault="00727BBA">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6ABA7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EF21A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EA83D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CFD0B4"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652D2"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241C6E"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636F24" w14:textId="77777777" w:rsidR="009C6F8A" w:rsidRDefault="00727BBA">
            <w:pPr>
              <w:keepNext/>
              <w:keepLines/>
              <w:spacing w:after="0" w:line="240" w:lineRule="auto"/>
              <w:jc w:val="center"/>
            </w:pPr>
            <w:r>
              <w:rPr>
                <w:b/>
                <w:sz w:val="18"/>
              </w:rPr>
              <w:t>Indeks (%)</w:t>
            </w:r>
          </w:p>
        </w:tc>
      </w:tr>
      <w:tr w:rsidR="009C6F8A" w14:paraId="409208F1" w14:textId="77777777">
        <w:tblPrEx>
          <w:tblCellMar>
            <w:top w:w="0" w:type="dxa"/>
            <w:bottom w:w="0" w:type="dxa"/>
          </w:tblCellMar>
        </w:tblPrEx>
        <w:trPr>
          <w:cantSplit/>
          <w:trHeight w:val="560"/>
        </w:trPr>
        <w:tc>
          <w:tcPr>
            <w:tcW w:w="700" w:type="dxa"/>
            <w:tcMar>
              <w:top w:w="0" w:type="dxa"/>
              <w:bottom w:w="0" w:type="dxa"/>
            </w:tcMar>
            <w:vAlign w:val="center"/>
          </w:tcPr>
          <w:p w14:paraId="023FD10F" w14:textId="77777777" w:rsidR="009C6F8A" w:rsidRDefault="00727BBA">
            <w:pPr>
              <w:keepNext/>
              <w:keepLines/>
              <w:spacing w:after="0" w:line="240" w:lineRule="auto"/>
            </w:pPr>
            <w:r>
              <w:rPr>
                <w:sz w:val="18"/>
              </w:rPr>
              <w:t>451</w:t>
            </w:r>
          </w:p>
        </w:tc>
        <w:tc>
          <w:tcPr>
            <w:tcW w:w="3180" w:type="dxa"/>
            <w:tcMar>
              <w:top w:w="0" w:type="dxa"/>
              <w:bottom w:w="0" w:type="dxa"/>
            </w:tcMar>
            <w:vAlign w:val="center"/>
          </w:tcPr>
          <w:p w14:paraId="6543EA1D" w14:textId="77777777" w:rsidR="009C6F8A" w:rsidRDefault="00727BBA">
            <w:pPr>
              <w:keepNext/>
              <w:keepLines/>
              <w:spacing w:after="0" w:line="240" w:lineRule="auto"/>
            </w:pPr>
            <w:r>
              <w:rPr>
                <w:sz w:val="18"/>
              </w:rPr>
              <w:t>Dodatna ulaganja na građevinskim objektima</w:t>
            </w:r>
          </w:p>
        </w:tc>
        <w:tc>
          <w:tcPr>
            <w:tcW w:w="700" w:type="dxa"/>
            <w:tcMar>
              <w:top w:w="0" w:type="dxa"/>
              <w:bottom w:w="0" w:type="dxa"/>
            </w:tcMar>
            <w:vAlign w:val="center"/>
          </w:tcPr>
          <w:p w14:paraId="7979472E" w14:textId="77777777" w:rsidR="009C6F8A" w:rsidRDefault="00727BBA">
            <w:pPr>
              <w:keepNext/>
              <w:keepLines/>
              <w:spacing w:after="0" w:line="240" w:lineRule="auto"/>
            </w:pPr>
            <w:r>
              <w:rPr>
                <w:sz w:val="18"/>
              </w:rPr>
              <w:t>451</w:t>
            </w:r>
          </w:p>
        </w:tc>
        <w:tc>
          <w:tcPr>
            <w:tcW w:w="1860" w:type="dxa"/>
            <w:tcMar>
              <w:top w:w="0" w:type="dxa"/>
              <w:bottom w:w="0" w:type="dxa"/>
            </w:tcMar>
            <w:vAlign w:val="center"/>
          </w:tcPr>
          <w:p w14:paraId="3CACAF17" w14:textId="77777777" w:rsidR="009C6F8A" w:rsidRDefault="00727BBA">
            <w:pPr>
              <w:keepNext/>
              <w:keepLines/>
              <w:spacing w:after="0" w:line="240" w:lineRule="auto"/>
              <w:jc w:val="right"/>
            </w:pPr>
            <w:r>
              <w:rPr>
                <w:sz w:val="18"/>
              </w:rPr>
              <w:t>3.979.556,69</w:t>
            </w:r>
          </w:p>
        </w:tc>
        <w:tc>
          <w:tcPr>
            <w:tcW w:w="1860" w:type="dxa"/>
            <w:tcMar>
              <w:top w:w="0" w:type="dxa"/>
              <w:bottom w:w="0" w:type="dxa"/>
            </w:tcMar>
            <w:vAlign w:val="center"/>
          </w:tcPr>
          <w:p w14:paraId="47C5D71A" w14:textId="77777777" w:rsidR="009C6F8A" w:rsidRDefault="00727BBA">
            <w:pPr>
              <w:keepNext/>
              <w:keepLines/>
              <w:spacing w:after="0" w:line="240" w:lineRule="auto"/>
              <w:jc w:val="right"/>
            </w:pPr>
            <w:r>
              <w:rPr>
                <w:sz w:val="18"/>
              </w:rPr>
              <w:t>5.224.802,83</w:t>
            </w:r>
          </w:p>
        </w:tc>
        <w:tc>
          <w:tcPr>
            <w:tcW w:w="700" w:type="dxa"/>
            <w:tcMar>
              <w:top w:w="0" w:type="dxa"/>
              <w:bottom w:w="0" w:type="dxa"/>
            </w:tcMar>
            <w:vAlign w:val="center"/>
          </w:tcPr>
          <w:p w14:paraId="0BD9E0CE" w14:textId="77777777" w:rsidR="009C6F8A" w:rsidRDefault="00727BBA">
            <w:pPr>
              <w:keepNext/>
              <w:keepLines/>
              <w:spacing w:after="0" w:line="240" w:lineRule="auto"/>
              <w:jc w:val="right"/>
            </w:pPr>
            <w:r>
              <w:rPr>
                <w:sz w:val="18"/>
              </w:rPr>
              <w:t>131,3</w:t>
            </w:r>
          </w:p>
        </w:tc>
      </w:tr>
    </w:tbl>
    <w:p w14:paraId="3D6DD1AE" w14:textId="77777777" w:rsidR="009C6F8A" w:rsidRDefault="009C6F8A">
      <w:pPr>
        <w:spacing w:after="0"/>
      </w:pPr>
    </w:p>
    <w:p w14:paraId="3911C8AB" w14:textId="77777777" w:rsidR="009C6F8A" w:rsidRDefault="00727BBA">
      <w:r>
        <w:t>U izvještajnom razdoblju rashodi su veći za 31,30% u odnosu na isto razdoblje prošle godine i to kod Grada uglavnom zbog većih ulaganja za projekt cjelovite i energetske obnove dvorca Kerestinec i kod DV Slavuj za rashode proširenja kuhinje u objektu Strmec.</w:t>
      </w:r>
    </w:p>
    <w:p w14:paraId="7A4C1465" w14:textId="77777777" w:rsidR="009C6F8A" w:rsidRDefault="00727BBA">
      <w:r>
        <w:t> </w:t>
      </w:r>
    </w:p>
    <w:p w14:paraId="53B76372" w14:textId="77777777" w:rsidR="009C6F8A" w:rsidRDefault="009C6F8A"/>
    <w:p w14:paraId="3D6EF6E3" w14:textId="77777777" w:rsidR="009C6F8A" w:rsidRDefault="00727BBA">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3E2F14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02409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426A3"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FB0FE2"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D34AF"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FAE068"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7FF6E1" w14:textId="77777777" w:rsidR="009C6F8A" w:rsidRDefault="00727BBA">
            <w:pPr>
              <w:keepNext/>
              <w:keepLines/>
              <w:spacing w:after="0" w:line="240" w:lineRule="auto"/>
              <w:jc w:val="center"/>
            </w:pPr>
            <w:r>
              <w:rPr>
                <w:b/>
                <w:sz w:val="18"/>
              </w:rPr>
              <w:t>Indeks (%)</w:t>
            </w:r>
          </w:p>
        </w:tc>
      </w:tr>
      <w:tr w:rsidR="009C6F8A" w14:paraId="572C4A8F" w14:textId="77777777">
        <w:tblPrEx>
          <w:tblCellMar>
            <w:top w:w="0" w:type="dxa"/>
            <w:bottom w:w="0" w:type="dxa"/>
          </w:tblCellMar>
        </w:tblPrEx>
        <w:trPr>
          <w:cantSplit/>
          <w:trHeight w:val="560"/>
        </w:trPr>
        <w:tc>
          <w:tcPr>
            <w:tcW w:w="700" w:type="dxa"/>
            <w:tcMar>
              <w:top w:w="0" w:type="dxa"/>
              <w:bottom w:w="0" w:type="dxa"/>
            </w:tcMar>
            <w:vAlign w:val="center"/>
          </w:tcPr>
          <w:p w14:paraId="2F3B925E" w14:textId="77777777" w:rsidR="009C6F8A" w:rsidRDefault="00727BBA">
            <w:pPr>
              <w:keepNext/>
              <w:keepLines/>
              <w:spacing w:after="0" w:line="240" w:lineRule="auto"/>
            </w:pPr>
            <w:r>
              <w:rPr>
                <w:sz w:val="18"/>
              </w:rPr>
              <w:t>454</w:t>
            </w:r>
          </w:p>
        </w:tc>
        <w:tc>
          <w:tcPr>
            <w:tcW w:w="3180" w:type="dxa"/>
            <w:tcMar>
              <w:top w:w="0" w:type="dxa"/>
              <w:bottom w:w="0" w:type="dxa"/>
            </w:tcMar>
            <w:vAlign w:val="center"/>
          </w:tcPr>
          <w:p w14:paraId="1B6AF5B8" w14:textId="77777777" w:rsidR="009C6F8A" w:rsidRDefault="00727BBA">
            <w:pPr>
              <w:keepNext/>
              <w:keepLines/>
              <w:spacing w:after="0" w:line="240" w:lineRule="auto"/>
            </w:pPr>
            <w:r>
              <w:rPr>
                <w:sz w:val="18"/>
              </w:rPr>
              <w:t>Dodatna ulaganja za ostalu nefinancijsku imovinu</w:t>
            </w:r>
          </w:p>
        </w:tc>
        <w:tc>
          <w:tcPr>
            <w:tcW w:w="700" w:type="dxa"/>
            <w:tcMar>
              <w:top w:w="0" w:type="dxa"/>
              <w:bottom w:w="0" w:type="dxa"/>
            </w:tcMar>
            <w:vAlign w:val="center"/>
          </w:tcPr>
          <w:p w14:paraId="716157F3" w14:textId="77777777" w:rsidR="009C6F8A" w:rsidRDefault="00727BBA">
            <w:pPr>
              <w:keepNext/>
              <w:keepLines/>
              <w:spacing w:after="0" w:line="240" w:lineRule="auto"/>
            </w:pPr>
            <w:r>
              <w:rPr>
                <w:sz w:val="18"/>
              </w:rPr>
              <w:t>454</w:t>
            </w:r>
          </w:p>
        </w:tc>
        <w:tc>
          <w:tcPr>
            <w:tcW w:w="1860" w:type="dxa"/>
            <w:tcMar>
              <w:top w:w="0" w:type="dxa"/>
              <w:bottom w:w="0" w:type="dxa"/>
            </w:tcMar>
            <w:vAlign w:val="center"/>
          </w:tcPr>
          <w:p w14:paraId="3E7809C0" w14:textId="77777777" w:rsidR="009C6F8A" w:rsidRDefault="00727BBA">
            <w:pPr>
              <w:keepNext/>
              <w:keepLines/>
              <w:spacing w:after="0" w:line="240" w:lineRule="auto"/>
              <w:jc w:val="right"/>
            </w:pPr>
            <w:r>
              <w:rPr>
                <w:sz w:val="18"/>
              </w:rPr>
              <w:t>17.925,84</w:t>
            </w:r>
          </w:p>
        </w:tc>
        <w:tc>
          <w:tcPr>
            <w:tcW w:w="1860" w:type="dxa"/>
            <w:tcMar>
              <w:top w:w="0" w:type="dxa"/>
              <w:bottom w:w="0" w:type="dxa"/>
            </w:tcMar>
            <w:vAlign w:val="center"/>
          </w:tcPr>
          <w:p w14:paraId="1E1AE9FC" w14:textId="77777777" w:rsidR="009C6F8A" w:rsidRDefault="00727BBA">
            <w:pPr>
              <w:keepNext/>
              <w:keepLines/>
              <w:spacing w:after="0" w:line="240" w:lineRule="auto"/>
              <w:jc w:val="right"/>
            </w:pPr>
            <w:r>
              <w:rPr>
                <w:sz w:val="18"/>
              </w:rPr>
              <w:t>852.574,10</w:t>
            </w:r>
          </w:p>
        </w:tc>
        <w:tc>
          <w:tcPr>
            <w:tcW w:w="700" w:type="dxa"/>
            <w:tcMar>
              <w:top w:w="0" w:type="dxa"/>
              <w:bottom w:w="0" w:type="dxa"/>
            </w:tcMar>
            <w:vAlign w:val="center"/>
          </w:tcPr>
          <w:p w14:paraId="098F3D38" w14:textId="77777777" w:rsidR="009C6F8A" w:rsidRDefault="00727BBA">
            <w:pPr>
              <w:keepNext/>
              <w:keepLines/>
              <w:spacing w:after="0" w:line="240" w:lineRule="auto"/>
              <w:jc w:val="right"/>
            </w:pPr>
            <w:r>
              <w:rPr>
                <w:sz w:val="18"/>
              </w:rPr>
              <w:t>4756,1</w:t>
            </w:r>
          </w:p>
        </w:tc>
      </w:tr>
    </w:tbl>
    <w:p w14:paraId="59353926" w14:textId="77777777" w:rsidR="009C6F8A" w:rsidRDefault="009C6F8A">
      <w:pPr>
        <w:spacing w:after="0"/>
      </w:pPr>
    </w:p>
    <w:p w14:paraId="69DE418A" w14:textId="77777777" w:rsidR="009C6F8A" w:rsidRDefault="00727BBA">
      <w:r>
        <w:t>Iskazano povećanje u 2025. godini  uglavnom je nastalo zbog rashoda koji se  odnose  na projekt rekonstrukcije  nogometnih igrališta  GNK Tigar Rakitje.</w:t>
      </w:r>
    </w:p>
    <w:p w14:paraId="0E854A11" w14:textId="77777777" w:rsidR="009C6F8A" w:rsidRDefault="009C6F8A"/>
    <w:p w14:paraId="2A77161D" w14:textId="77777777" w:rsidR="009C6F8A" w:rsidRDefault="00727BBA">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42A72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982942"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7390D6"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81CA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F6A36"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A8104"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1469C5" w14:textId="77777777" w:rsidR="009C6F8A" w:rsidRDefault="00727BBA">
            <w:pPr>
              <w:keepNext/>
              <w:keepLines/>
              <w:spacing w:after="0" w:line="240" w:lineRule="auto"/>
              <w:jc w:val="center"/>
            </w:pPr>
            <w:r>
              <w:rPr>
                <w:b/>
                <w:sz w:val="18"/>
              </w:rPr>
              <w:t>Indeks (%)</w:t>
            </w:r>
          </w:p>
        </w:tc>
      </w:tr>
      <w:tr w:rsidR="009C6F8A" w14:paraId="5E510F21" w14:textId="77777777">
        <w:tblPrEx>
          <w:tblCellMar>
            <w:top w:w="0" w:type="dxa"/>
            <w:bottom w:w="0" w:type="dxa"/>
          </w:tblCellMar>
        </w:tblPrEx>
        <w:trPr>
          <w:cantSplit/>
          <w:trHeight w:val="560"/>
        </w:trPr>
        <w:tc>
          <w:tcPr>
            <w:tcW w:w="700" w:type="dxa"/>
            <w:tcMar>
              <w:top w:w="0" w:type="dxa"/>
              <w:bottom w:w="0" w:type="dxa"/>
            </w:tcMar>
            <w:vAlign w:val="center"/>
          </w:tcPr>
          <w:p w14:paraId="6B889995" w14:textId="77777777" w:rsidR="009C6F8A" w:rsidRDefault="00727BBA">
            <w:pPr>
              <w:keepNext/>
              <w:keepLines/>
              <w:spacing w:after="0" w:line="240" w:lineRule="auto"/>
            </w:pPr>
            <w:r>
              <w:rPr>
                <w:sz w:val="18"/>
              </w:rPr>
              <w:t>84</w:t>
            </w:r>
          </w:p>
        </w:tc>
        <w:tc>
          <w:tcPr>
            <w:tcW w:w="3180" w:type="dxa"/>
            <w:tcMar>
              <w:top w:w="0" w:type="dxa"/>
              <w:bottom w:w="0" w:type="dxa"/>
            </w:tcMar>
            <w:vAlign w:val="center"/>
          </w:tcPr>
          <w:p w14:paraId="7278EA01" w14:textId="77777777" w:rsidR="009C6F8A" w:rsidRDefault="00727BBA">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23B61264" w14:textId="77777777" w:rsidR="009C6F8A" w:rsidRDefault="00727BBA">
            <w:pPr>
              <w:keepNext/>
              <w:keepLines/>
              <w:spacing w:after="0" w:line="240" w:lineRule="auto"/>
            </w:pPr>
            <w:r>
              <w:rPr>
                <w:sz w:val="18"/>
              </w:rPr>
              <w:t>84</w:t>
            </w:r>
          </w:p>
        </w:tc>
        <w:tc>
          <w:tcPr>
            <w:tcW w:w="1860" w:type="dxa"/>
            <w:tcMar>
              <w:top w:w="0" w:type="dxa"/>
              <w:bottom w:w="0" w:type="dxa"/>
            </w:tcMar>
            <w:vAlign w:val="center"/>
          </w:tcPr>
          <w:p w14:paraId="1AEC3AB5" w14:textId="77777777" w:rsidR="009C6F8A" w:rsidRDefault="00727BBA">
            <w:pPr>
              <w:keepNext/>
              <w:keepLines/>
              <w:spacing w:after="0" w:line="240" w:lineRule="auto"/>
              <w:jc w:val="right"/>
            </w:pPr>
            <w:r>
              <w:rPr>
                <w:sz w:val="18"/>
              </w:rPr>
              <w:t>231.727,43</w:t>
            </w:r>
          </w:p>
        </w:tc>
        <w:tc>
          <w:tcPr>
            <w:tcW w:w="1860" w:type="dxa"/>
            <w:tcMar>
              <w:top w:w="0" w:type="dxa"/>
              <w:bottom w:w="0" w:type="dxa"/>
            </w:tcMar>
            <w:vAlign w:val="center"/>
          </w:tcPr>
          <w:p w14:paraId="7394E3F4" w14:textId="77777777" w:rsidR="009C6F8A" w:rsidRDefault="00727BBA">
            <w:pPr>
              <w:keepNext/>
              <w:keepLines/>
              <w:spacing w:after="0" w:line="240" w:lineRule="auto"/>
              <w:jc w:val="right"/>
            </w:pPr>
            <w:r>
              <w:rPr>
                <w:sz w:val="18"/>
              </w:rPr>
              <w:t>4.002.970,84</w:t>
            </w:r>
          </w:p>
        </w:tc>
        <w:tc>
          <w:tcPr>
            <w:tcW w:w="700" w:type="dxa"/>
            <w:tcMar>
              <w:top w:w="0" w:type="dxa"/>
              <w:bottom w:w="0" w:type="dxa"/>
            </w:tcMar>
            <w:vAlign w:val="center"/>
          </w:tcPr>
          <w:p w14:paraId="31F9FC4E" w14:textId="77777777" w:rsidR="009C6F8A" w:rsidRDefault="00727BBA">
            <w:pPr>
              <w:keepNext/>
              <w:keepLines/>
              <w:spacing w:after="0" w:line="240" w:lineRule="auto"/>
              <w:jc w:val="right"/>
            </w:pPr>
            <w:r>
              <w:rPr>
                <w:sz w:val="18"/>
              </w:rPr>
              <w:t>1727,4</w:t>
            </w:r>
          </w:p>
        </w:tc>
      </w:tr>
    </w:tbl>
    <w:p w14:paraId="66BE5A2D" w14:textId="77777777" w:rsidR="009C6F8A" w:rsidRDefault="009C6F8A">
      <w:pPr>
        <w:spacing w:after="0"/>
      </w:pPr>
    </w:p>
    <w:p w14:paraId="2F964D7C" w14:textId="77777777" w:rsidR="009C6F8A" w:rsidRDefault="00727BBA">
      <w:r>
        <w:t>Iskazani primici se odnose na kreditna sredstva Erste banke  d.d. za izgradnju sportske dvorane u Kerestincu koja su se  počela koristiti krajem 2024. godine.</w:t>
      </w:r>
    </w:p>
    <w:p w14:paraId="34275F6C" w14:textId="77777777" w:rsidR="009C6F8A" w:rsidRDefault="009C6F8A"/>
    <w:p w14:paraId="65846FC0" w14:textId="77777777" w:rsidR="009C6F8A" w:rsidRDefault="00727BBA">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AFCD3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BFF776"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85341E"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D6353"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84DE1" w14:textId="77777777" w:rsidR="009C6F8A" w:rsidRDefault="00727BB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08BB3" w14:textId="77777777" w:rsidR="009C6F8A" w:rsidRDefault="00727BB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C3F7F" w14:textId="77777777" w:rsidR="009C6F8A" w:rsidRDefault="00727BBA">
            <w:pPr>
              <w:keepNext/>
              <w:keepLines/>
              <w:spacing w:after="0" w:line="240" w:lineRule="auto"/>
              <w:jc w:val="center"/>
            </w:pPr>
            <w:r>
              <w:rPr>
                <w:b/>
                <w:sz w:val="18"/>
              </w:rPr>
              <w:t>Indeks (%)</w:t>
            </w:r>
          </w:p>
        </w:tc>
      </w:tr>
      <w:tr w:rsidR="009C6F8A" w14:paraId="6F46DA12" w14:textId="77777777">
        <w:tblPrEx>
          <w:tblCellMar>
            <w:top w:w="0" w:type="dxa"/>
            <w:bottom w:w="0" w:type="dxa"/>
          </w:tblCellMar>
        </w:tblPrEx>
        <w:trPr>
          <w:cantSplit/>
          <w:trHeight w:val="560"/>
        </w:trPr>
        <w:tc>
          <w:tcPr>
            <w:tcW w:w="700" w:type="dxa"/>
            <w:tcMar>
              <w:top w:w="0" w:type="dxa"/>
              <w:bottom w:w="0" w:type="dxa"/>
            </w:tcMar>
            <w:vAlign w:val="center"/>
          </w:tcPr>
          <w:p w14:paraId="30484389" w14:textId="77777777" w:rsidR="009C6F8A" w:rsidRDefault="009C6F8A">
            <w:pPr>
              <w:keepNext/>
              <w:keepLines/>
              <w:spacing w:after="0" w:line="240" w:lineRule="auto"/>
            </w:pPr>
          </w:p>
        </w:tc>
        <w:tc>
          <w:tcPr>
            <w:tcW w:w="3180" w:type="dxa"/>
            <w:tcMar>
              <w:top w:w="0" w:type="dxa"/>
              <w:bottom w:w="0" w:type="dxa"/>
            </w:tcMar>
            <w:vAlign w:val="center"/>
          </w:tcPr>
          <w:p w14:paraId="5F539C0F" w14:textId="77777777" w:rsidR="009C6F8A" w:rsidRDefault="00727BBA">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596DB9E" w14:textId="77777777" w:rsidR="009C6F8A" w:rsidRDefault="00727BBA">
            <w:pPr>
              <w:keepNext/>
              <w:keepLines/>
              <w:spacing w:after="0" w:line="240" w:lineRule="auto"/>
            </w:pPr>
            <w:r>
              <w:rPr>
                <w:sz w:val="18"/>
              </w:rPr>
              <w:t>X006</w:t>
            </w:r>
          </w:p>
        </w:tc>
        <w:tc>
          <w:tcPr>
            <w:tcW w:w="1860" w:type="dxa"/>
            <w:tcMar>
              <w:top w:w="0" w:type="dxa"/>
              <w:bottom w:w="0" w:type="dxa"/>
            </w:tcMar>
            <w:vAlign w:val="center"/>
          </w:tcPr>
          <w:p w14:paraId="27741304" w14:textId="77777777" w:rsidR="009C6F8A" w:rsidRDefault="00727BBA">
            <w:pPr>
              <w:keepNext/>
              <w:keepLines/>
              <w:spacing w:after="0" w:line="240" w:lineRule="auto"/>
              <w:jc w:val="right"/>
            </w:pPr>
            <w:r>
              <w:rPr>
                <w:sz w:val="18"/>
              </w:rPr>
              <w:t>4.420.768,39</w:t>
            </w:r>
          </w:p>
        </w:tc>
        <w:tc>
          <w:tcPr>
            <w:tcW w:w="1860" w:type="dxa"/>
            <w:tcMar>
              <w:top w:w="0" w:type="dxa"/>
              <w:bottom w:w="0" w:type="dxa"/>
            </w:tcMar>
            <w:vAlign w:val="center"/>
          </w:tcPr>
          <w:p w14:paraId="2B0A5965" w14:textId="77777777" w:rsidR="009C6F8A" w:rsidRDefault="00727BBA">
            <w:pPr>
              <w:keepNext/>
              <w:keepLines/>
              <w:spacing w:after="0" w:line="240" w:lineRule="auto"/>
              <w:jc w:val="right"/>
            </w:pPr>
            <w:r>
              <w:rPr>
                <w:sz w:val="18"/>
              </w:rPr>
              <w:t>11.838.239,91</w:t>
            </w:r>
          </w:p>
        </w:tc>
        <w:tc>
          <w:tcPr>
            <w:tcW w:w="700" w:type="dxa"/>
            <w:tcMar>
              <w:top w:w="0" w:type="dxa"/>
              <w:bottom w:w="0" w:type="dxa"/>
            </w:tcMar>
            <w:vAlign w:val="center"/>
          </w:tcPr>
          <w:p w14:paraId="47144278" w14:textId="77777777" w:rsidR="009C6F8A" w:rsidRDefault="00727BBA">
            <w:pPr>
              <w:keepNext/>
              <w:keepLines/>
              <w:spacing w:after="0" w:line="240" w:lineRule="auto"/>
              <w:jc w:val="right"/>
            </w:pPr>
            <w:r>
              <w:rPr>
                <w:sz w:val="18"/>
              </w:rPr>
              <w:t>267,8</w:t>
            </w:r>
          </w:p>
        </w:tc>
      </w:tr>
    </w:tbl>
    <w:p w14:paraId="0C28D4A3" w14:textId="77777777" w:rsidR="009C6F8A" w:rsidRDefault="009C6F8A">
      <w:pPr>
        <w:spacing w:after="0"/>
      </w:pPr>
    </w:p>
    <w:tbl>
      <w:tblPr>
        <w:tblStyle w:val="Reetkatablice"/>
        <w:tblW w:w="5000" w:type="pct"/>
        <w:tblLook w:val="04A0" w:firstRow="1" w:lastRow="0" w:firstColumn="1" w:lastColumn="0" w:noHBand="0" w:noVBand="1"/>
      </w:tblPr>
      <w:tblGrid>
        <w:gridCol w:w="1813"/>
        <w:gridCol w:w="1813"/>
        <w:gridCol w:w="1812"/>
        <w:gridCol w:w="1812"/>
        <w:gridCol w:w="1812"/>
      </w:tblGrid>
      <w:tr w:rsidR="009C6F8A" w14:paraId="75F45D97" w14:textId="77777777">
        <w:trPr>
          <w:trHeight w:val="540"/>
        </w:trPr>
        <w:tc>
          <w:tcPr>
            <w:tcW w:w="998" w:type="pct"/>
            <w:vAlign w:val="center"/>
          </w:tcPr>
          <w:p w14:paraId="15721A81" w14:textId="77777777" w:rsidR="009C6F8A" w:rsidRDefault="00727BBA">
            <w:r>
              <w:t> </w:t>
            </w:r>
          </w:p>
        </w:tc>
        <w:tc>
          <w:tcPr>
            <w:tcW w:w="998" w:type="pct"/>
            <w:vAlign w:val="center"/>
          </w:tcPr>
          <w:p w14:paraId="556F7D8F" w14:textId="77777777" w:rsidR="009C6F8A" w:rsidRDefault="00727BBA">
            <w:pPr>
              <w:keepNext/>
              <w:jc w:val="center"/>
            </w:pPr>
            <w:r>
              <w:t>Grad Sveta Nedelja</w:t>
            </w:r>
          </w:p>
        </w:tc>
        <w:tc>
          <w:tcPr>
            <w:tcW w:w="998" w:type="pct"/>
            <w:vAlign w:val="center"/>
          </w:tcPr>
          <w:p w14:paraId="3130C7B8" w14:textId="77777777" w:rsidR="009C6F8A" w:rsidRDefault="00727BBA">
            <w:pPr>
              <w:keepNext/>
              <w:jc w:val="center"/>
            </w:pPr>
            <w:r>
              <w:t>DV Slavuj</w:t>
            </w:r>
          </w:p>
        </w:tc>
        <w:tc>
          <w:tcPr>
            <w:tcW w:w="998" w:type="pct"/>
            <w:vAlign w:val="center"/>
          </w:tcPr>
          <w:p w14:paraId="376A9F7B" w14:textId="77777777" w:rsidR="009C6F8A" w:rsidRDefault="00727BBA">
            <w:pPr>
              <w:keepNext/>
              <w:jc w:val="center"/>
            </w:pPr>
            <w:r>
              <w:t>Knjižnica Mihaela Šiloboda</w:t>
            </w:r>
          </w:p>
        </w:tc>
        <w:tc>
          <w:tcPr>
            <w:tcW w:w="998" w:type="pct"/>
            <w:vAlign w:val="center"/>
          </w:tcPr>
          <w:p w14:paraId="10751006" w14:textId="77777777" w:rsidR="009C6F8A" w:rsidRDefault="00727BBA">
            <w:pPr>
              <w:keepNext/>
              <w:jc w:val="center"/>
            </w:pPr>
            <w:r>
              <w:t>UKUPNO</w:t>
            </w:r>
          </w:p>
        </w:tc>
      </w:tr>
      <w:tr w:rsidR="009C6F8A" w14:paraId="2968B807" w14:textId="77777777">
        <w:trPr>
          <w:trHeight w:val="876"/>
        </w:trPr>
        <w:tc>
          <w:tcPr>
            <w:tcW w:w="998" w:type="pct"/>
            <w:vAlign w:val="center"/>
          </w:tcPr>
          <w:p w14:paraId="3AB75886" w14:textId="77777777" w:rsidR="009C6F8A" w:rsidRDefault="00727BBA">
            <w:r>
              <w:t>Višak/manjak prihoda poslovanja</w:t>
            </w:r>
          </w:p>
        </w:tc>
        <w:tc>
          <w:tcPr>
            <w:tcW w:w="998" w:type="pct"/>
            <w:vAlign w:val="center"/>
          </w:tcPr>
          <w:p w14:paraId="26CBF176" w14:textId="77777777" w:rsidR="009C6F8A" w:rsidRDefault="00727BBA">
            <w:pPr>
              <w:keepNext/>
              <w:jc w:val="right"/>
            </w:pPr>
            <w:r>
              <w:t>7.317.717,84 €</w:t>
            </w:r>
          </w:p>
        </w:tc>
        <w:tc>
          <w:tcPr>
            <w:tcW w:w="998" w:type="pct"/>
            <w:vAlign w:val="center"/>
          </w:tcPr>
          <w:p w14:paraId="78FAFB1B" w14:textId="77777777" w:rsidR="009C6F8A" w:rsidRDefault="00727BBA">
            <w:pPr>
              <w:keepNext/>
              <w:jc w:val="right"/>
            </w:pPr>
            <w:r>
              <w:t>-282.593,96 €</w:t>
            </w:r>
          </w:p>
        </w:tc>
        <w:tc>
          <w:tcPr>
            <w:tcW w:w="998" w:type="pct"/>
            <w:vAlign w:val="center"/>
          </w:tcPr>
          <w:p w14:paraId="4F802056" w14:textId="77777777" w:rsidR="009C6F8A" w:rsidRDefault="00727BBA">
            <w:pPr>
              <w:keepNext/>
              <w:jc w:val="right"/>
            </w:pPr>
            <w:r>
              <w:t>69.178,22 €</w:t>
            </w:r>
          </w:p>
        </w:tc>
        <w:tc>
          <w:tcPr>
            <w:tcW w:w="998" w:type="pct"/>
            <w:vAlign w:val="center"/>
          </w:tcPr>
          <w:p w14:paraId="016561E1" w14:textId="77777777" w:rsidR="009C6F8A" w:rsidRDefault="00727BBA">
            <w:pPr>
              <w:keepNext/>
              <w:jc w:val="right"/>
            </w:pPr>
            <w:r>
              <w:t>7.104.302,10 €</w:t>
            </w:r>
          </w:p>
        </w:tc>
      </w:tr>
      <w:tr w:rsidR="009C6F8A" w14:paraId="63D53969" w14:textId="77777777">
        <w:trPr>
          <w:trHeight w:val="876"/>
        </w:trPr>
        <w:tc>
          <w:tcPr>
            <w:tcW w:w="998" w:type="pct"/>
            <w:vAlign w:val="center"/>
          </w:tcPr>
          <w:p w14:paraId="31689C5E" w14:textId="77777777" w:rsidR="009C6F8A" w:rsidRDefault="00727BBA">
            <w:r>
              <w:t>Višak/manjak prihoda od nefinancijske imovine</w:t>
            </w:r>
          </w:p>
        </w:tc>
        <w:tc>
          <w:tcPr>
            <w:tcW w:w="998" w:type="pct"/>
            <w:vAlign w:val="center"/>
          </w:tcPr>
          <w:p w14:paraId="15438D7E" w14:textId="77777777" w:rsidR="009C6F8A" w:rsidRDefault="00727BBA">
            <w:pPr>
              <w:keepNext/>
              <w:jc w:val="right"/>
            </w:pPr>
            <w:r>
              <w:t>-3.080.936,10 €</w:t>
            </w:r>
          </w:p>
        </w:tc>
        <w:tc>
          <w:tcPr>
            <w:tcW w:w="998" w:type="pct"/>
            <w:vAlign w:val="center"/>
          </w:tcPr>
          <w:p w14:paraId="5B97D39B" w14:textId="77777777" w:rsidR="009C6F8A" w:rsidRDefault="00727BBA">
            <w:pPr>
              <w:keepNext/>
              <w:jc w:val="right"/>
            </w:pPr>
            <w:r>
              <w:t>-123.475,61 €</w:t>
            </w:r>
          </w:p>
        </w:tc>
        <w:tc>
          <w:tcPr>
            <w:tcW w:w="998" w:type="pct"/>
            <w:vAlign w:val="center"/>
          </w:tcPr>
          <w:p w14:paraId="6A9DC5AC" w14:textId="77777777" w:rsidR="009C6F8A" w:rsidRDefault="00727BBA">
            <w:pPr>
              <w:keepNext/>
              <w:jc w:val="right"/>
            </w:pPr>
            <w:r>
              <w:t>-87.221,27 €</w:t>
            </w:r>
          </w:p>
        </w:tc>
        <w:tc>
          <w:tcPr>
            <w:tcW w:w="998" w:type="pct"/>
            <w:vAlign w:val="center"/>
          </w:tcPr>
          <w:p w14:paraId="41B55045" w14:textId="77777777" w:rsidR="009C6F8A" w:rsidRDefault="00727BBA">
            <w:pPr>
              <w:keepNext/>
              <w:jc w:val="right"/>
            </w:pPr>
            <w:r>
              <w:t>-3.291.632,98 €</w:t>
            </w:r>
          </w:p>
        </w:tc>
      </w:tr>
      <w:tr w:rsidR="009C6F8A" w14:paraId="34D2AF54" w14:textId="77777777">
        <w:trPr>
          <w:trHeight w:val="1212"/>
        </w:trPr>
        <w:tc>
          <w:tcPr>
            <w:tcW w:w="998" w:type="pct"/>
            <w:vAlign w:val="center"/>
          </w:tcPr>
          <w:p w14:paraId="060862E4" w14:textId="77777777" w:rsidR="009C6F8A" w:rsidRDefault="00727BBA">
            <w:r>
              <w:t>Višak/manjak primitaka od financijske imovine i zaduživanja</w:t>
            </w:r>
          </w:p>
        </w:tc>
        <w:tc>
          <w:tcPr>
            <w:tcW w:w="998" w:type="pct"/>
            <w:vAlign w:val="center"/>
          </w:tcPr>
          <w:p w14:paraId="0AC66DF8" w14:textId="77777777" w:rsidR="009C6F8A" w:rsidRDefault="00727BBA">
            <w:pPr>
              <w:keepNext/>
              <w:jc w:val="right"/>
            </w:pPr>
            <w:r>
              <w:t>3.604.802,40 €</w:t>
            </w:r>
          </w:p>
        </w:tc>
        <w:tc>
          <w:tcPr>
            <w:tcW w:w="998" w:type="pct"/>
            <w:vAlign w:val="center"/>
          </w:tcPr>
          <w:p w14:paraId="79756BDA" w14:textId="77777777" w:rsidR="009C6F8A" w:rsidRDefault="00727BBA">
            <w:pPr>
              <w:keepNext/>
              <w:jc w:val="right"/>
            </w:pPr>
            <w:r>
              <w:t>0,00</w:t>
            </w:r>
          </w:p>
        </w:tc>
        <w:tc>
          <w:tcPr>
            <w:tcW w:w="998" w:type="pct"/>
            <w:vAlign w:val="center"/>
          </w:tcPr>
          <w:p w14:paraId="28B78335" w14:textId="77777777" w:rsidR="009C6F8A" w:rsidRDefault="00727BBA">
            <w:pPr>
              <w:keepNext/>
              <w:jc w:val="right"/>
            </w:pPr>
            <w:r>
              <w:t>0,00</w:t>
            </w:r>
          </w:p>
        </w:tc>
        <w:tc>
          <w:tcPr>
            <w:tcW w:w="998" w:type="pct"/>
            <w:vAlign w:val="center"/>
          </w:tcPr>
          <w:p w14:paraId="23314938" w14:textId="77777777" w:rsidR="009C6F8A" w:rsidRDefault="00727BBA">
            <w:pPr>
              <w:keepNext/>
              <w:jc w:val="right"/>
            </w:pPr>
            <w:r>
              <w:t>3.604.802,40 €</w:t>
            </w:r>
          </w:p>
        </w:tc>
      </w:tr>
      <w:tr w:rsidR="009C6F8A" w14:paraId="05EE5EE8" w14:textId="77777777">
        <w:trPr>
          <w:trHeight w:val="540"/>
        </w:trPr>
        <w:tc>
          <w:tcPr>
            <w:tcW w:w="998" w:type="pct"/>
            <w:vAlign w:val="center"/>
          </w:tcPr>
          <w:p w14:paraId="119CF605" w14:textId="77777777" w:rsidR="009C6F8A" w:rsidRDefault="00727BBA">
            <w:pPr>
              <w:keepNext/>
            </w:pPr>
            <w:r>
              <w:lastRenderedPageBreak/>
              <w:t>UKUPNO</w:t>
            </w:r>
          </w:p>
        </w:tc>
        <w:tc>
          <w:tcPr>
            <w:tcW w:w="998" w:type="pct"/>
            <w:vAlign w:val="center"/>
          </w:tcPr>
          <w:p w14:paraId="4D96E2C0" w14:textId="77777777" w:rsidR="009C6F8A" w:rsidRDefault="00727BBA">
            <w:pPr>
              <w:keepNext/>
              <w:jc w:val="right"/>
            </w:pPr>
            <w:r>
              <w:t>7.841.584,14 €</w:t>
            </w:r>
          </w:p>
        </w:tc>
        <w:tc>
          <w:tcPr>
            <w:tcW w:w="998" w:type="pct"/>
            <w:vAlign w:val="center"/>
          </w:tcPr>
          <w:p w14:paraId="3085BDC9" w14:textId="77777777" w:rsidR="009C6F8A" w:rsidRDefault="00727BBA">
            <w:pPr>
              <w:keepNext/>
              <w:jc w:val="right"/>
            </w:pPr>
            <w:r>
              <w:t>-406.069,57 €</w:t>
            </w:r>
          </w:p>
        </w:tc>
        <w:tc>
          <w:tcPr>
            <w:tcW w:w="998" w:type="pct"/>
            <w:vAlign w:val="center"/>
          </w:tcPr>
          <w:p w14:paraId="15CEA04A" w14:textId="77777777" w:rsidR="009C6F8A" w:rsidRDefault="00727BBA">
            <w:pPr>
              <w:keepNext/>
              <w:jc w:val="right"/>
            </w:pPr>
            <w:r>
              <w:t>-18.043,05 €</w:t>
            </w:r>
          </w:p>
        </w:tc>
        <w:tc>
          <w:tcPr>
            <w:tcW w:w="998" w:type="pct"/>
            <w:vAlign w:val="center"/>
          </w:tcPr>
          <w:p w14:paraId="32E7E950" w14:textId="77777777" w:rsidR="009C6F8A" w:rsidRDefault="00727BBA">
            <w:pPr>
              <w:keepNext/>
              <w:jc w:val="right"/>
            </w:pPr>
            <w:r>
              <w:t>7.417.471,52 €</w:t>
            </w:r>
          </w:p>
        </w:tc>
      </w:tr>
      <w:tr w:rsidR="009C6F8A" w14:paraId="676D561A" w14:textId="77777777">
        <w:trPr>
          <w:trHeight w:val="876"/>
        </w:trPr>
        <w:tc>
          <w:tcPr>
            <w:tcW w:w="998" w:type="pct"/>
            <w:vAlign w:val="center"/>
          </w:tcPr>
          <w:p w14:paraId="24BBB0A4" w14:textId="77777777" w:rsidR="009C6F8A" w:rsidRDefault="00727BBA">
            <w:pPr>
              <w:keepNext/>
            </w:pPr>
            <w:r>
              <w:t>Višak prihoda i primitaka preneseni</w:t>
            </w:r>
          </w:p>
        </w:tc>
        <w:tc>
          <w:tcPr>
            <w:tcW w:w="998" w:type="pct"/>
            <w:vAlign w:val="center"/>
          </w:tcPr>
          <w:p w14:paraId="4F744C8F" w14:textId="77777777" w:rsidR="009C6F8A" w:rsidRDefault="00727BBA">
            <w:pPr>
              <w:keepNext/>
              <w:jc w:val="right"/>
            </w:pPr>
            <w:r>
              <w:t>4.294.337,30 €</w:t>
            </w:r>
          </w:p>
        </w:tc>
        <w:tc>
          <w:tcPr>
            <w:tcW w:w="998" w:type="pct"/>
            <w:vAlign w:val="center"/>
          </w:tcPr>
          <w:p w14:paraId="3BA9E0A4" w14:textId="77777777" w:rsidR="009C6F8A" w:rsidRDefault="00727BBA">
            <w:pPr>
              <w:keepNext/>
              <w:jc w:val="right"/>
            </w:pPr>
            <w:r>
              <w:t>119.708,63 €</w:t>
            </w:r>
          </w:p>
        </w:tc>
        <w:tc>
          <w:tcPr>
            <w:tcW w:w="998" w:type="pct"/>
            <w:vAlign w:val="center"/>
          </w:tcPr>
          <w:p w14:paraId="7F1BD37C" w14:textId="77777777" w:rsidR="009C6F8A" w:rsidRDefault="00727BBA">
            <w:pPr>
              <w:keepNext/>
              <w:jc w:val="right"/>
            </w:pPr>
            <w:r>
              <w:t>6.722,46 €</w:t>
            </w:r>
          </w:p>
        </w:tc>
        <w:tc>
          <w:tcPr>
            <w:tcW w:w="998" w:type="pct"/>
            <w:vAlign w:val="center"/>
          </w:tcPr>
          <w:p w14:paraId="698D2911" w14:textId="77777777" w:rsidR="009C6F8A" w:rsidRDefault="00727BBA">
            <w:pPr>
              <w:keepNext/>
              <w:jc w:val="right"/>
            </w:pPr>
            <w:r>
              <w:t>4.420.768,39 €</w:t>
            </w:r>
          </w:p>
        </w:tc>
      </w:tr>
      <w:tr w:rsidR="009C6F8A" w14:paraId="6385B27E" w14:textId="77777777">
        <w:trPr>
          <w:trHeight w:val="1548"/>
        </w:trPr>
        <w:tc>
          <w:tcPr>
            <w:tcW w:w="998" w:type="pct"/>
            <w:vAlign w:val="center"/>
          </w:tcPr>
          <w:p w14:paraId="688D16FC" w14:textId="77777777" w:rsidR="009C6F8A" w:rsidRDefault="00727BBA">
            <w:pPr>
              <w:keepNext/>
            </w:pPr>
            <w:r>
              <w:rPr>
                <w:b/>
              </w:rPr>
              <w:t>SVEUKUPNO višak/manjak prihoda i primitaka raspoloživ u slijedećem razdoblju</w:t>
            </w:r>
          </w:p>
        </w:tc>
        <w:tc>
          <w:tcPr>
            <w:tcW w:w="998" w:type="pct"/>
            <w:vAlign w:val="center"/>
          </w:tcPr>
          <w:p w14:paraId="07B79ED6" w14:textId="77777777" w:rsidR="009C6F8A" w:rsidRDefault="00727BBA">
            <w:pPr>
              <w:keepNext/>
              <w:jc w:val="right"/>
            </w:pPr>
            <w:r>
              <w:rPr>
                <w:b/>
              </w:rPr>
              <w:t>12.135.921,44 €</w:t>
            </w:r>
          </w:p>
        </w:tc>
        <w:tc>
          <w:tcPr>
            <w:tcW w:w="998" w:type="pct"/>
            <w:vAlign w:val="center"/>
          </w:tcPr>
          <w:p w14:paraId="2A5530B0" w14:textId="77777777" w:rsidR="009C6F8A" w:rsidRDefault="00727BBA">
            <w:pPr>
              <w:keepNext/>
              <w:jc w:val="right"/>
            </w:pPr>
            <w:r>
              <w:rPr>
                <w:b/>
              </w:rPr>
              <w:t>-286.360,94 €</w:t>
            </w:r>
          </w:p>
        </w:tc>
        <w:tc>
          <w:tcPr>
            <w:tcW w:w="998" w:type="pct"/>
            <w:vAlign w:val="center"/>
          </w:tcPr>
          <w:p w14:paraId="2139AB94" w14:textId="77777777" w:rsidR="009C6F8A" w:rsidRDefault="00727BBA">
            <w:pPr>
              <w:keepNext/>
              <w:jc w:val="right"/>
            </w:pPr>
            <w:r>
              <w:rPr>
                <w:b/>
              </w:rPr>
              <w:t>-11.320,59 €</w:t>
            </w:r>
          </w:p>
        </w:tc>
        <w:tc>
          <w:tcPr>
            <w:tcW w:w="998" w:type="pct"/>
            <w:vAlign w:val="center"/>
          </w:tcPr>
          <w:p w14:paraId="3C7805DD" w14:textId="77777777" w:rsidR="009C6F8A" w:rsidRDefault="00727BBA">
            <w:pPr>
              <w:keepNext/>
              <w:jc w:val="right"/>
            </w:pPr>
            <w:r>
              <w:rPr>
                <w:b/>
              </w:rPr>
              <w:t>11.838.239,91 €</w:t>
            </w:r>
          </w:p>
        </w:tc>
      </w:tr>
    </w:tbl>
    <w:p w14:paraId="1B1D895B" w14:textId="77777777" w:rsidR="009C6F8A" w:rsidRDefault="00727BBA">
      <w:r>
        <w:t> </w:t>
      </w:r>
    </w:p>
    <w:p w14:paraId="572B2C04" w14:textId="77777777" w:rsidR="009C6F8A" w:rsidRDefault="009C6F8A"/>
    <w:p w14:paraId="2E448BFE" w14:textId="77777777" w:rsidR="009C6F8A" w:rsidRDefault="00727BBA">
      <w:pPr>
        <w:keepNext/>
        <w:spacing w:line="240" w:lineRule="auto"/>
        <w:jc w:val="center"/>
      </w:pPr>
      <w:r>
        <w:rPr>
          <w:b/>
          <w:sz w:val="28"/>
        </w:rPr>
        <w:t>Bilanca</w:t>
      </w:r>
    </w:p>
    <w:p w14:paraId="16BB5064" w14:textId="77777777" w:rsidR="009C6F8A" w:rsidRDefault="00727BBA">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C5420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07B9E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72FDB9"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C8E4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A2A9A"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F151CE"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DC090E" w14:textId="77777777" w:rsidR="009C6F8A" w:rsidRDefault="00727BBA">
            <w:pPr>
              <w:keepNext/>
              <w:keepLines/>
              <w:spacing w:after="0" w:line="240" w:lineRule="auto"/>
              <w:jc w:val="center"/>
            </w:pPr>
            <w:r>
              <w:rPr>
                <w:b/>
                <w:sz w:val="18"/>
              </w:rPr>
              <w:t>Indeks (%)</w:t>
            </w:r>
          </w:p>
        </w:tc>
      </w:tr>
      <w:tr w:rsidR="009C6F8A" w14:paraId="4D627583" w14:textId="77777777">
        <w:tblPrEx>
          <w:tblCellMar>
            <w:top w:w="0" w:type="dxa"/>
            <w:bottom w:w="0" w:type="dxa"/>
          </w:tblCellMar>
        </w:tblPrEx>
        <w:trPr>
          <w:cantSplit/>
          <w:trHeight w:val="560"/>
        </w:trPr>
        <w:tc>
          <w:tcPr>
            <w:tcW w:w="700" w:type="dxa"/>
            <w:tcMar>
              <w:top w:w="0" w:type="dxa"/>
              <w:bottom w:w="0" w:type="dxa"/>
            </w:tcMar>
            <w:vAlign w:val="center"/>
          </w:tcPr>
          <w:p w14:paraId="727FD878" w14:textId="77777777" w:rsidR="009C6F8A" w:rsidRDefault="00727BBA">
            <w:pPr>
              <w:keepNext/>
              <w:keepLines/>
              <w:spacing w:after="0" w:line="240" w:lineRule="auto"/>
            </w:pPr>
            <w:r>
              <w:rPr>
                <w:sz w:val="18"/>
              </w:rPr>
              <w:t>011</w:t>
            </w:r>
          </w:p>
        </w:tc>
        <w:tc>
          <w:tcPr>
            <w:tcW w:w="3180" w:type="dxa"/>
            <w:tcMar>
              <w:top w:w="0" w:type="dxa"/>
              <w:bottom w:w="0" w:type="dxa"/>
            </w:tcMar>
            <w:vAlign w:val="center"/>
          </w:tcPr>
          <w:p w14:paraId="2DA07299" w14:textId="77777777" w:rsidR="009C6F8A" w:rsidRDefault="00727BBA">
            <w:pPr>
              <w:keepNext/>
              <w:keepLines/>
              <w:spacing w:after="0" w:line="240" w:lineRule="auto"/>
            </w:pPr>
            <w:r>
              <w:rPr>
                <w:sz w:val="18"/>
              </w:rPr>
              <w:t>Materijalna imovina - prirodna bogatstva</w:t>
            </w:r>
          </w:p>
        </w:tc>
        <w:tc>
          <w:tcPr>
            <w:tcW w:w="700" w:type="dxa"/>
            <w:tcMar>
              <w:top w:w="0" w:type="dxa"/>
              <w:bottom w:w="0" w:type="dxa"/>
            </w:tcMar>
            <w:vAlign w:val="center"/>
          </w:tcPr>
          <w:p w14:paraId="7F592CEC" w14:textId="77777777" w:rsidR="009C6F8A" w:rsidRDefault="00727BBA">
            <w:pPr>
              <w:keepNext/>
              <w:keepLines/>
              <w:spacing w:after="0" w:line="240" w:lineRule="auto"/>
            </w:pPr>
            <w:r>
              <w:rPr>
                <w:sz w:val="18"/>
              </w:rPr>
              <w:t>011</w:t>
            </w:r>
          </w:p>
        </w:tc>
        <w:tc>
          <w:tcPr>
            <w:tcW w:w="1860" w:type="dxa"/>
            <w:tcMar>
              <w:top w:w="0" w:type="dxa"/>
              <w:bottom w:w="0" w:type="dxa"/>
            </w:tcMar>
            <w:vAlign w:val="center"/>
          </w:tcPr>
          <w:p w14:paraId="1B1D55AB" w14:textId="77777777" w:rsidR="009C6F8A" w:rsidRDefault="00727BBA">
            <w:pPr>
              <w:keepNext/>
              <w:keepLines/>
              <w:spacing w:after="0" w:line="240" w:lineRule="auto"/>
              <w:jc w:val="right"/>
            </w:pPr>
            <w:r>
              <w:rPr>
                <w:sz w:val="18"/>
              </w:rPr>
              <w:t>15.361.518,12</w:t>
            </w:r>
          </w:p>
        </w:tc>
        <w:tc>
          <w:tcPr>
            <w:tcW w:w="1860" w:type="dxa"/>
            <w:tcMar>
              <w:top w:w="0" w:type="dxa"/>
              <w:bottom w:w="0" w:type="dxa"/>
            </w:tcMar>
            <w:vAlign w:val="center"/>
          </w:tcPr>
          <w:p w14:paraId="4F6C4561" w14:textId="77777777" w:rsidR="009C6F8A" w:rsidRDefault="00727BBA">
            <w:pPr>
              <w:keepNext/>
              <w:keepLines/>
              <w:spacing w:after="0" w:line="240" w:lineRule="auto"/>
              <w:jc w:val="right"/>
            </w:pPr>
            <w:r>
              <w:rPr>
                <w:sz w:val="18"/>
              </w:rPr>
              <w:t>4.390.850,42</w:t>
            </w:r>
          </w:p>
        </w:tc>
        <w:tc>
          <w:tcPr>
            <w:tcW w:w="700" w:type="dxa"/>
            <w:tcMar>
              <w:top w:w="0" w:type="dxa"/>
              <w:bottom w:w="0" w:type="dxa"/>
            </w:tcMar>
            <w:vAlign w:val="center"/>
          </w:tcPr>
          <w:p w14:paraId="07AE864A" w14:textId="77777777" w:rsidR="009C6F8A" w:rsidRDefault="00727BBA">
            <w:pPr>
              <w:keepNext/>
              <w:keepLines/>
              <w:spacing w:after="0" w:line="240" w:lineRule="auto"/>
              <w:jc w:val="right"/>
            </w:pPr>
            <w:r>
              <w:rPr>
                <w:sz w:val="18"/>
              </w:rPr>
              <w:t>28,6</w:t>
            </w:r>
          </w:p>
        </w:tc>
      </w:tr>
    </w:tbl>
    <w:p w14:paraId="5542F802" w14:textId="77777777" w:rsidR="009C6F8A" w:rsidRDefault="009C6F8A">
      <w:pPr>
        <w:spacing w:after="0"/>
      </w:pPr>
    </w:p>
    <w:p w14:paraId="05314144" w14:textId="77777777" w:rsidR="009C6F8A" w:rsidRDefault="00727BBA">
      <w:r>
        <w:t>Iskazano smanjenje je rezultat prodaje velikog kompleksa zemljišta putem javnog natječaja jednom trgovačkom društvu, te prodaje  zemljišta jednoj fizičkoj osobi, prijenosu prava vlasništva na jednoj čestici  Hrvatskim vodama i isknjižavanju zemljišta zbog gubitka prava vlasništva nad jednom česticom temeljem Rješenja suda.</w:t>
      </w:r>
    </w:p>
    <w:p w14:paraId="4DA18DB1" w14:textId="77777777" w:rsidR="009C6F8A" w:rsidRDefault="009C6F8A"/>
    <w:p w14:paraId="49C59DC9" w14:textId="77777777" w:rsidR="009C6F8A" w:rsidRDefault="00727BBA">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533BA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4303BB"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F3035C"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4C5E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7F9F8"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FD5F89"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46C656" w14:textId="77777777" w:rsidR="009C6F8A" w:rsidRDefault="00727BBA">
            <w:pPr>
              <w:keepNext/>
              <w:keepLines/>
              <w:spacing w:after="0" w:line="240" w:lineRule="auto"/>
              <w:jc w:val="center"/>
            </w:pPr>
            <w:r>
              <w:rPr>
                <w:b/>
                <w:sz w:val="18"/>
              </w:rPr>
              <w:t>Indeks (%)</w:t>
            </w:r>
          </w:p>
        </w:tc>
      </w:tr>
      <w:tr w:rsidR="009C6F8A" w14:paraId="284F0486" w14:textId="77777777">
        <w:tblPrEx>
          <w:tblCellMar>
            <w:top w:w="0" w:type="dxa"/>
            <w:bottom w:w="0" w:type="dxa"/>
          </w:tblCellMar>
        </w:tblPrEx>
        <w:trPr>
          <w:cantSplit/>
          <w:trHeight w:val="560"/>
        </w:trPr>
        <w:tc>
          <w:tcPr>
            <w:tcW w:w="700" w:type="dxa"/>
            <w:tcMar>
              <w:top w:w="0" w:type="dxa"/>
              <w:bottom w:w="0" w:type="dxa"/>
            </w:tcMar>
            <w:vAlign w:val="center"/>
          </w:tcPr>
          <w:p w14:paraId="0C8A1BAF" w14:textId="77777777" w:rsidR="009C6F8A" w:rsidRDefault="00727BBA">
            <w:pPr>
              <w:keepNext/>
              <w:keepLines/>
              <w:spacing w:after="0" w:line="240" w:lineRule="auto"/>
            </w:pPr>
            <w:r>
              <w:rPr>
                <w:sz w:val="18"/>
              </w:rPr>
              <w:t>012</w:t>
            </w:r>
          </w:p>
        </w:tc>
        <w:tc>
          <w:tcPr>
            <w:tcW w:w="3180" w:type="dxa"/>
            <w:tcMar>
              <w:top w:w="0" w:type="dxa"/>
              <w:bottom w:w="0" w:type="dxa"/>
            </w:tcMar>
            <w:vAlign w:val="center"/>
          </w:tcPr>
          <w:p w14:paraId="2954C079" w14:textId="77777777" w:rsidR="009C6F8A" w:rsidRDefault="00727BBA">
            <w:pPr>
              <w:keepNext/>
              <w:keepLines/>
              <w:spacing w:after="0" w:line="240" w:lineRule="auto"/>
            </w:pPr>
            <w:r>
              <w:rPr>
                <w:sz w:val="18"/>
              </w:rPr>
              <w:t>Nematerijalna imovina</w:t>
            </w:r>
          </w:p>
        </w:tc>
        <w:tc>
          <w:tcPr>
            <w:tcW w:w="700" w:type="dxa"/>
            <w:tcMar>
              <w:top w:w="0" w:type="dxa"/>
              <w:bottom w:w="0" w:type="dxa"/>
            </w:tcMar>
            <w:vAlign w:val="center"/>
          </w:tcPr>
          <w:p w14:paraId="3368A8C4" w14:textId="77777777" w:rsidR="009C6F8A" w:rsidRDefault="00727BBA">
            <w:pPr>
              <w:keepNext/>
              <w:keepLines/>
              <w:spacing w:after="0" w:line="240" w:lineRule="auto"/>
            </w:pPr>
            <w:r>
              <w:rPr>
                <w:sz w:val="18"/>
              </w:rPr>
              <w:t>012</w:t>
            </w:r>
          </w:p>
        </w:tc>
        <w:tc>
          <w:tcPr>
            <w:tcW w:w="1860" w:type="dxa"/>
            <w:tcMar>
              <w:top w:w="0" w:type="dxa"/>
              <w:bottom w:w="0" w:type="dxa"/>
            </w:tcMar>
            <w:vAlign w:val="center"/>
          </w:tcPr>
          <w:p w14:paraId="511F33A1" w14:textId="77777777" w:rsidR="009C6F8A" w:rsidRDefault="00727BBA">
            <w:pPr>
              <w:keepNext/>
              <w:keepLines/>
              <w:spacing w:after="0" w:line="240" w:lineRule="auto"/>
              <w:jc w:val="right"/>
            </w:pPr>
            <w:r>
              <w:rPr>
                <w:sz w:val="18"/>
              </w:rPr>
              <w:t>422.753,24</w:t>
            </w:r>
          </w:p>
        </w:tc>
        <w:tc>
          <w:tcPr>
            <w:tcW w:w="1860" w:type="dxa"/>
            <w:tcMar>
              <w:top w:w="0" w:type="dxa"/>
              <w:bottom w:w="0" w:type="dxa"/>
            </w:tcMar>
            <w:vAlign w:val="center"/>
          </w:tcPr>
          <w:p w14:paraId="350C8BD1" w14:textId="77777777" w:rsidR="009C6F8A" w:rsidRDefault="00727BBA">
            <w:pPr>
              <w:keepNext/>
              <w:keepLines/>
              <w:spacing w:after="0" w:line="240" w:lineRule="auto"/>
              <w:jc w:val="right"/>
            </w:pPr>
            <w:r>
              <w:rPr>
                <w:sz w:val="18"/>
              </w:rPr>
              <w:t>580.856,41</w:t>
            </w:r>
          </w:p>
        </w:tc>
        <w:tc>
          <w:tcPr>
            <w:tcW w:w="700" w:type="dxa"/>
            <w:tcMar>
              <w:top w:w="0" w:type="dxa"/>
              <w:bottom w:w="0" w:type="dxa"/>
            </w:tcMar>
            <w:vAlign w:val="center"/>
          </w:tcPr>
          <w:p w14:paraId="3D5CB315" w14:textId="77777777" w:rsidR="009C6F8A" w:rsidRDefault="00727BBA">
            <w:pPr>
              <w:keepNext/>
              <w:keepLines/>
              <w:spacing w:after="0" w:line="240" w:lineRule="auto"/>
              <w:jc w:val="right"/>
            </w:pPr>
            <w:r>
              <w:rPr>
                <w:sz w:val="18"/>
              </w:rPr>
              <w:t>137,4</w:t>
            </w:r>
          </w:p>
        </w:tc>
      </w:tr>
    </w:tbl>
    <w:p w14:paraId="7A6D3EA0" w14:textId="77777777" w:rsidR="009C6F8A" w:rsidRDefault="009C6F8A">
      <w:pPr>
        <w:spacing w:after="0"/>
      </w:pPr>
    </w:p>
    <w:p w14:paraId="4C0877EF" w14:textId="77777777" w:rsidR="009C6F8A" w:rsidRDefault="00727BBA">
      <w:r>
        <w:t xml:space="preserve">Povećanje u 2025. godini  u odnosu na 2024. godinu odnosi se na  ugovor o osnivanju prava građenja na zemljištu u vlasništvu RH nasuprot dvorca Kerestinec  i  na ulaganje na tuđoj imovini  tj. ulaganje na prometnoj signalizaciji i opremi na državnoj cesti u naselju Sveta </w:t>
      </w:r>
      <w:proofErr w:type="spellStart"/>
      <w:r>
        <w:t>Nedelji</w:t>
      </w:r>
      <w:proofErr w:type="spellEnd"/>
      <w:r>
        <w:t xml:space="preserve"> te ulaganja u licence za računalne programe i mobilnu aplikaciju Moj Grad.</w:t>
      </w:r>
    </w:p>
    <w:p w14:paraId="7BEDF6BE" w14:textId="77777777" w:rsidR="009C6F8A" w:rsidRDefault="00727BBA">
      <w:r>
        <w:t> </w:t>
      </w:r>
    </w:p>
    <w:p w14:paraId="731FDEF1" w14:textId="77777777" w:rsidR="009C6F8A" w:rsidRDefault="009C6F8A"/>
    <w:p w14:paraId="28B8B093" w14:textId="77777777" w:rsidR="009C6F8A" w:rsidRDefault="00727BBA">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C21DB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5AB5F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03B845"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10C5B"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3B802"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B6DA00"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D61CF5" w14:textId="77777777" w:rsidR="009C6F8A" w:rsidRDefault="00727BBA">
            <w:pPr>
              <w:keepNext/>
              <w:keepLines/>
              <w:spacing w:after="0" w:line="240" w:lineRule="auto"/>
              <w:jc w:val="center"/>
            </w:pPr>
            <w:r>
              <w:rPr>
                <w:b/>
                <w:sz w:val="18"/>
              </w:rPr>
              <w:t>Indeks (%)</w:t>
            </w:r>
          </w:p>
        </w:tc>
      </w:tr>
      <w:tr w:rsidR="009C6F8A" w14:paraId="745294F6" w14:textId="77777777">
        <w:tblPrEx>
          <w:tblCellMar>
            <w:top w:w="0" w:type="dxa"/>
            <w:bottom w:w="0" w:type="dxa"/>
          </w:tblCellMar>
        </w:tblPrEx>
        <w:trPr>
          <w:cantSplit/>
          <w:trHeight w:val="560"/>
        </w:trPr>
        <w:tc>
          <w:tcPr>
            <w:tcW w:w="700" w:type="dxa"/>
            <w:tcMar>
              <w:top w:w="0" w:type="dxa"/>
              <w:bottom w:w="0" w:type="dxa"/>
            </w:tcMar>
            <w:vAlign w:val="center"/>
          </w:tcPr>
          <w:p w14:paraId="69E587B5" w14:textId="77777777" w:rsidR="009C6F8A" w:rsidRDefault="00727BBA">
            <w:pPr>
              <w:keepNext/>
              <w:keepLines/>
              <w:spacing w:after="0" w:line="240" w:lineRule="auto"/>
            </w:pPr>
            <w:r>
              <w:rPr>
                <w:sz w:val="18"/>
              </w:rPr>
              <w:t>0212</w:t>
            </w:r>
          </w:p>
        </w:tc>
        <w:tc>
          <w:tcPr>
            <w:tcW w:w="3180" w:type="dxa"/>
            <w:tcMar>
              <w:top w:w="0" w:type="dxa"/>
              <w:bottom w:w="0" w:type="dxa"/>
            </w:tcMar>
            <w:vAlign w:val="center"/>
          </w:tcPr>
          <w:p w14:paraId="25941A06" w14:textId="77777777" w:rsidR="009C6F8A" w:rsidRDefault="00727BBA">
            <w:pPr>
              <w:keepNext/>
              <w:keepLines/>
              <w:spacing w:after="0" w:line="240" w:lineRule="auto"/>
            </w:pPr>
            <w:r>
              <w:rPr>
                <w:sz w:val="18"/>
              </w:rPr>
              <w:t>Poslovni objekti</w:t>
            </w:r>
          </w:p>
        </w:tc>
        <w:tc>
          <w:tcPr>
            <w:tcW w:w="700" w:type="dxa"/>
            <w:tcMar>
              <w:top w:w="0" w:type="dxa"/>
              <w:bottom w:w="0" w:type="dxa"/>
            </w:tcMar>
            <w:vAlign w:val="center"/>
          </w:tcPr>
          <w:p w14:paraId="3DB727E7" w14:textId="77777777" w:rsidR="009C6F8A" w:rsidRDefault="00727BBA">
            <w:pPr>
              <w:keepNext/>
              <w:keepLines/>
              <w:spacing w:after="0" w:line="240" w:lineRule="auto"/>
            </w:pPr>
            <w:r>
              <w:rPr>
                <w:sz w:val="18"/>
              </w:rPr>
              <w:t>0212</w:t>
            </w:r>
          </w:p>
        </w:tc>
        <w:tc>
          <w:tcPr>
            <w:tcW w:w="1860" w:type="dxa"/>
            <w:tcMar>
              <w:top w:w="0" w:type="dxa"/>
              <w:bottom w:w="0" w:type="dxa"/>
            </w:tcMar>
            <w:vAlign w:val="center"/>
          </w:tcPr>
          <w:p w14:paraId="3682ACF3" w14:textId="77777777" w:rsidR="009C6F8A" w:rsidRDefault="00727BBA">
            <w:pPr>
              <w:keepNext/>
              <w:keepLines/>
              <w:spacing w:after="0" w:line="240" w:lineRule="auto"/>
              <w:jc w:val="right"/>
            </w:pPr>
            <w:r>
              <w:rPr>
                <w:sz w:val="18"/>
              </w:rPr>
              <w:t>12.255.838,69</w:t>
            </w:r>
          </w:p>
        </w:tc>
        <w:tc>
          <w:tcPr>
            <w:tcW w:w="1860" w:type="dxa"/>
            <w:tcMar>
              <w:top w:w="0" w:type="dxa"/>
              <w:bottom w:w="0" w:type="dxa"/>
            </w:tcMar>
            <w:vAlign w:val="center"/>
          </w:tcPr>
          <w:p w14:paraId="4E31AC8F" w14:textId="77777777" w:rsidR="009C6F8A" w:rsidRDefault="00727BBA">
            <w:pPr>
              <w:keepNext/>
              <w:keepLines/>
              <w:spacing w:after="0" w:line="240" w:lineRule="auto"/>
              <w:jc w:val="right"/>
            </w:pPr>
            <w:r>
              <w:rPr>
                <w:sz w:val="18"/>
              </w:rPr>
              <w:t>21.795.622,91</w:t>
            </w:r>
          </w:p>
        </w:tc>
        <w:tc>
          <w:tcPr>
            <w:tcW w:w="700" w:type="dxa"/>
            <w:tcMar>
              <w:top w:w="0" w:type="dxa"/>
              <w:bottom w:w="0" w:type="dxa"/>
            </w:tcMar>
            <w:vAlign w:val="center"/>
          </w:tcPr>
          <w:p w14:paraId="62B5D253" w14:textId="77777777" w:rsidR="009C6F8A" w:rsidRDefault="00727BBA">
            <w:pPr>
              <w:keepNext/>
              <w:keepLines/>
              <w:spacing w:after="0" w:line="240" w:lineRule="auto"/>
              <w:jc w:val="right"/>
            </w:pPr>
            <w:r>
              <w:rPr>
                <w:sz w:val="18"/>
              </w:rPr>
              <w:t>177,8</w:t>
            </w:r>
          </w:p>
        </w:tc>
      </w:tr>
    </w:tbl>
    <w:p w14:paraId="1F29A744" w14:textId="77777777" w:rsidR="009C6F8A" w:rsidRDefault="009C6F8A">
      <w:pPr>
        <w:spacing w:after="0"/>
      </w:pPr>
    </w:p>
    <w:p w14:paraId="1C02A5F6" w14:textId="77777777" w:rsidR="009C6F8A" w:rsidRDefault="00727BBA">
      <w:r>
        <w:t>Povećanje u odnosu na 2025.godinu odnosi se na  Grad i to na ulaganje Grada u sportsku dvoranu u Kerestincu, ulaganje u objekt DV Slavuj u Novakima i matični objekt u Strmcu.  </w:t>
      </w:r>
    </w:p>
    <w:p w14:paraId="2CA58212" w14:textId="77777777" w:rsidR="009C6F8A" w:rsidRDefault="009C6F8A"/>
    <w:p w14:paraId="647BACC0" w14:textId="77777777" w:rsidR="009C6F8A" w:rsidRDefault="00727BBA">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37F36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F352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C6756E"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93BE3A"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57291"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38E0B1"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10D318" w14:textId="77777777" w:rsidR="009C6F8A" w:rsidRDefault="00727BBA">
            <w:pPr>
              <w:keepNext/>
              <w:keepLines/>
              <w:spacing w:after="0" w:line="240" w:lineRule="auto"/>
              <w:jc w:val="center"/>
            </w:pPr>
            <w:r>
              <w:rPr>
                <w:b/>
                <w:sz w:val="18"/>
              </w:rPr>
              <w:t>Indeks (%)</w:t>
            </w:r>
          </w:p>
        </w:tc>
      </w:tr>
      <w:tr w:rsidR="009C6F8A" w14:paraId="259E0452" w14:textId="77777777">
        <w:tblPrEx>
          <w:tblCellMar>
            <w:top w:w="0" w:type="dxa"/>
            <w:bottom w:w="0" w:type="dxa"/>
          </w:tblCellMar>
        </w:tblPrEx>
        <w:trPr>
          <w:cantSplit/>
          <w:trHeight w:val="560"/>
        </w:trPr>
        <w:tc>
          <w:tcPr>
            <w:tcW w:w="700" w:type="dxa"/>
            <w:tcMar>
              <w:top w:w="0" w:type="dxa"/>
              <w:bottom w:w="0" w:type="dxa"/>
            </w:tcMar>
            <w:vAlign w:val="center"/>
          </w:tcPr>
          <w:p w14:paraId="0248A38E" w14:textId="77777777" w:rsidR="009C6F8A" w:rsidRDefault="00727BBA">
            <w:pPr>
              <w:keepNext/>
              <w:keepLines/>
              <w:spacing w:after="0" w:line="240" w:lineRule="auto"/>
            </w:pPr>
            <w:r>
              <w:rPr>
                <w:sz w:val="18"/>
              </w:rPr>
              <w:t>0221</w:t>
            </w:r>
          </w:p>
        </w:tc>
        <w:tc>
          <w:tcPr>
            <w:tcW w:w="3180" w:type="dxa"/>
            <w:tcMar>
              <w:top w:w="0" w:type="dxa"/>
              <w:bottom w:w="0" w:type="dxa"/>
            </w:tcMar>
            <w:vAlign w:val="center"/>
          </w:tcPr>
          <w:p w14:paraId="37B73F7A" w14:textId="77777777" w:rsidR="009C6F8A" w:rsidRDefault="00727BBA">
            <w:pPr>
              <w:keepNext/>
              <w:keepLines/>
              <w:spacing w:after="0" w:line="240" w:lineRule="auto"/>
            </w:pPr>
            <w:r>
              <w:rPr>
                <w:sz w:val="18"/>
              </w:rPr>
              <w:t>Uredska oprema i namještaj</w:t>
            </w:r>
          </w:p>
        </w:tc>
        <w:tc>
          <w:tcPr>
            <w:tcW w:w="700" w:type="dxa"/>
            <w:tcMar>
              <w:top w:w="0" w:type="dxa"/>
              <w:bottom w:w="0" w:type="dxa"/>
            </w:tcMar>
            <w:vAlign w:val="center"/>
          </w:tcPr>
          <w:p w14:paraId="0C0AEA57" w14:textId="77777777" w:rsidR="009C6F8A" w:rsidRDefault="00727BBA">
            <w:pPr>
              <w:keepNext/>
              <w:keepLines/>
              <w:spacing w:after="0" w:line="240" w:lineRule="auto"/>
            </w:pPr>
            <w:r>
              <w:rPr>
                <w:sz w:val="18"/>
              </w:rPr>
              <w:t>0221</w:t>
            </w:r>
          </w:p>
        </w:tc>
        <w:tc>
          <w:tcPr>
            <w:tcW w:w="1860" w:type="dxa"/>
            <w:tcMar>
              <w:top w:w="0" w:type="dxa"/>
              <w:bottom w:w="0" w:type="dxa"/>
            </w:tcMar>
            <w:vAlign w:val="center"/>
          </w:tcPr>
          <w:p w14:paraId="19CCCCDF" w14:textId="77777777" w:rsidR="009C6F8A" w:rsidRDefault="00727BBA">
            <w:pPr>
              <w:keepNext/>
              <w:keepLines/>
              <w:spacing w:after="0" w:line="240" w:lineRule="auto"/>
              <w:jc w:val="right"/>
            </w:pPr>
            <w:r>
              <w:rPr>
                <w:sz w:val="18"/>
              </w:rPr>
              <w:t>1.286.051,40</w:t>
            </w:r>
          </w:p>
        </w:tc>
        <w:tc>
          <w:tcPr>
            <w:tcW w:w="1860" w:type="dxa"/>
            <w:tcMar>
              <w:top w:w="0" w:type="dxa"/>
              <w:bottom w:w="0" w:type="dxa"/>
            </w:tcMar>
            <w:vAlign w:val="center"/>
          </w:tcPr>
          <w:p w14:paraId="60DC4281" w14:textId="77777777" w:rsidR="009C6F8A" w:rsidRDefault="00727BBA">
            <w:pPr>
              <w:keepNext/>
              <w:keepLines/>
              <w:spacing w:after="0" w:line="240" w:lineRule="auto"/>
              <w:jc w:val="right"/>
            </w:pPr>
            <w:r>
              <w:rPr>
                <w:sz w:val="18"/>
              </w:rPr>
              <w:t>1.399.724,22</w:t>
            </w:r>
          </w:p>
        </w:tc>
        <w:tc>
          <w:tcPr>
            <w:tcW w:w="700" w:type="dxa"/>
            <w:tcMar>
              <w:top w:w="0" w:type="dxa"/>
              <w:bottom w:w="0" w:type="dxa"/>
            </w:tcMar>
            <w:vAlign w:val="center"/>
          </w:tcPr>
          <w:p w14:paraId="7CF0313E" w14:textId="77777777" w:rsidR="009C6F8A" w:rsidRDefault="00727BBA">
            <w:pPr>
              <w:keepNext/>
              <w:keepLines/>
              <w:spacing w:after="0" w:line="240" w:lineRule="auto"/>
              <w:jc w:val="right"/>
            </w:pPr>
            <w:r>
              <w:rPr>
                <w:sz w:val="18"/>
              </w:rPr>
              <w:t>108,8</w:t>
            </w:r>
          </w:p>
        </w:tc>
      </w:tr>
    </w:tbl>
    <w:p w14:paraId="3A188DBD" w14:textId="77777777" w:rsidR="009C6F8A" w:rsidRDefault="009C6F8A">
      <w:pPr>
        <w:spacing w:after="0"/>
      </w:pPr>
    </w:p>
    <w:p w14:paraId="5B025E3B" w14:textId="77777777" w:rsidR="009C6F8A" w:rsidRDefault="00727BBA">
      <w:r>
        <w:t>Povećanje je rezultat nabave uredske opreme i namještaja u 2025. godini kod Grada i  kod Knjižnice M. Šiloboda.</w:t>
      </w:r>
    </w:p>
    <w:p w14:paraId="04E5DDB8" w14:textId="77777777" w:rsidR="009C6F8A" w:rsidRDefault="009C6F8A"/>
    <w:p w14:paraId="01779EFC" w14:textId="77777777" w:rsidR="009C6F8A" w:rsidRDefault="00727BBA">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52C8B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AD36E"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E116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E9E0B"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E1EEFB"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99C4B6"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1C566E" w14:textId="77777777" w:rsidR="009C6F8A" w:rsidRDefault="00727BBA">
            <w:pPr>
              <w:keepNext/>
              <w:keepLines/>
              <w:spacing w:after="0" w:line="240" w:lineRule="auto"/>
              <w:jc w:val="center"/>
            </w:pPr>
            <w:r>
              <w:rPr>
                <w:b/>
                <w:sz w:val="18"/>
              </w:rPr>
              <w:t>Indeks (%)</w:t>
            </w:r>
          </w:p>
        </w:tc>
      </w:tr>
      <w:tr w:rsidR="009C6F8A" w14:paraId="7CD8E8D5" w14:textId="77777777">
        <w:tblPrEx>
          <w:tblCellMar>
            <w:top w:w="0" w:type="dxa"/>
            <w:bottom w:w="0" w:type="dxa"/>
          </w:tblCellMar>
        </w:tblPrEx>
        <w:trPr>
          <w:cantSplit/>
          <w:trHeight w:val="560"/>
        </w:trPr>
        <w:tc>
          <w:tcPr>
            <w:tcW w:w="700" w:type="dxa"/>
            <w:tcMar>
              <w:top w:w="0" w:type="dxa"/>
              <w:bottom w:w="0" w:type="dxa"/>
            </w:tcMar>
            <w:vAlign w:val="center"/>
          </w:tcPr>
          <w:p w14:paraId="28ECFFA1" w14:textId="77777777" w:rsidR="009C6F8A" w:rsidRDefault="00727BBA">
            <w:pPr>
              <w:keepNext/>
              <w:keepLines/>
              <w:spacing w:after="0" w:line="240" w:lineRule="auto"/>
            </w:pPr>
            <w:r>
              <w:rPr>
                <w:sz w:val="18"/>
              </w:rPr>
              <w:t>0222</w:t>
            </w:r>
          </w:p>
        </w:tc>
        <w:tc>
          <w:tcPr>
            <w:tcW w:w="3180" w:type="dxa"/>
            <w:tcMar>
              <w:top w:w="0" w:type="dxa"/>
              <w:bottom w:w="0" w:type="dxa"/>
            </w:tcMar>
            <w:vAlign w:val="center"/>
          </w:tcPr>
          <w:p w14:paraId="27179E14" w14:textId="77777777" w:rsidR="009C6F8A" w:rsidRDefault="00727BBA">
            <w:pPr>
              <w:keepNext/>
              <w:keepLines/>
              <w:spacing w:after="0" w:line="240" w:lineRule="auto"/>
            </w:pPr>
            <w:r>
              <w:rPr>
                <w:sz w:val="18"/>
              </w:rPr>
              <w:t>Komunikacijska oprema</w:t>
            </w:r>
          </w:p>
        </w:tc>
        <w:tc>
          <w:tcPr>
            <w:tcW w:w="700" w:type="dxa"/>
            <w:tcMar>
              <w:top w:w="0" w:type="dxa"/>
              <w:bottom w:w="0" w:type="dxa"/>
            </w:tcMar>
            <w:vAlign w:val="center"/>
          </w:tcPr>
          <w:p w14:paraId="50182FE5" w14:textId="77777777" w:rsidR="009C6F8A" w:rsidRDefault="00727BBA">
            <w:pPr>
              <w:keepNext/>
              <w:keepLines/>
              <w:spacing w:after="0" w:line="240" w:lineRule="auto"/>
            </w:pPr>
            <w:r>
              <w:rPr>
                <w:sz w:val="18"/>
              </w:rPr>
              <w:t>0222</w:t>
            </w:r>
          </w:p>
        </w:tc>
        <w:tc>
          <w:tcPr>
            <w:tcW w:w="1860" w:type="dxa"/>
            <w:tcMar>
              <w:top w:w="0" w:type="dxa"/>
              <w:bottom w:w="0" w:type="dxa"/>
            </w:tcMar>
            <w:vAlign w:val="center"/>
          </w:tcPr>
          <w:p w14:paraId="4AF23ABC" w14:textId="77777777" w:rsidR="009C6F8A" w:rsidRDefault="00727BBA">
            <w:pPr>
              <w:keepNext/>
              <w:keepLines/>
              <w:spacing w:after="0" w:line="240" w:lineRule="auto"/>
              <w:jc w:val="right"/>
            </w:pPr>
            <w:r>
              <w:rPr>
                <w:sz w:val="18"/>
              </w:rPr>
              <w:t>186.632,54</w:t>
            </w:r>
          </w:p>
        </w:tc>
        <w:tc>
          <w:tcPr>
            <w:tcW w:w="1860" w:type="dxa"/>
            <w:tcMar>
              <w:top w:w="0" w:type="dxa"/>
              <w:bottom w:w="0" w:type="dxa"/>
            </w:tcMar>
            <w:vAlign w:val="center"/>
          </w:tcPr>
          <w:p w14:paraId="49C41045" w14:textId="77777777" w:rsidR="009C6F8A" w:rsidRDefault="00727BBA">
            <w:pPr>
              <w:keepNext/>
              <w:keepLines/>
              <w:spacing w:after="0" w:line="240" w:lineRule="auto"/>
              <w:jc w:val="right"/>
            </w:pPr>
            <w:r>
              <w:rPr>
                <w:sz w:val="18"/>
              </w:rPr>
              <w:t>221.550,60</w:t>
            </w:r>
          </w:p>
        </w:tc>
        <w:tc>
          <w:tcPr>
            <w:tcW w:w="700" w:type="dxa"/>
            <w:tcMar>
              <w:top w:w="0" w:type="dxa"/>
              <w:bottom w:w="0" w:type="dxa"/>
            </w:tcMar>
            <w:vAlign w:val="center"/>
          </w:tcPr>
          <w:p w14:paraId="01B0F5F8" w14:textId="77777777" w:rsidR="009C6F8A" w:rsidRDefault="00727BBA">
            <w:pPr>
              <w:keepNext/>
              <w:keepLines/>
              <w:spacing w:after="0" w:line="240" w:lineRule="auto"/>
              <w:jc w:val="right"/>
            </w:pPr>
            <w:r>
              <w:rPr>
                <w:sz w:val="18"/>
              </w:rPr>
              <w:t>118,7</w:t>
            </w:r>
          </w:p>
        </w:tc>
      </w:tr>
    </w:tbl>
    <w:p w14:paraId="286926FF" w14:textId="77777777" w:rsidR="009C6F8A" w:rsidRDefault="009C6F8A">
      <w:pPr>
        <w:spacing w:after="0"/>
      </w:pPr>
    </w:p>
    <w:p w14:paraId="6509D987" w14:textId="77777777" w:rsidR="009C6F8A" w:rsidRDefault="00727BBA">
      <w:r>
        <w:t>Povećanje je rezultat nabave mobilnih aparata i video nadzora sa pripadajućom opremom kod  Grada, te kod DV Slavuj  ostale komunikacijske opreme.</w:t>
      </w:r>
    </w:p>
    <w:p w14:paraId="45EB0887" w14:textId="77777777" w:rsidR="009C6F8A" w:rsidRDefault="009C6F8A"/>
    <w:p w14:paraId="64B2FFE1" w14:textId="77777777" w:rsidR="009C6F8A" w:rsidRDefault="00727BBA">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361BAE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F369A"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AE7FF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6F4420"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9557F8"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5C7E7E"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6D607F" w14:textId="77777777" w:rsidR="009C6F8A" w:rsidRDefault="00727BBA">
            <w:pPr>
              <w:keepNext/>
              <w:keepLines/>
              <w:spacing w:after="0" w:line="240" w:lineRule="auto"/>
              <w:jc w:val="center"/>
            </w:pPr>
            <w:r>
              <w:rPr>
                <w:b/>
                <w:sz w:val="18"/>
              </w:rPr>
              <w:t>Indeks (%)</w:t>
            </w:r>
          </w:p>
        </w:tc>
      </w:tr>
      <w:tr w:rsidR="009C6F8A" w14:paraId="1D75FD86" w14:textId="77777777">
        <w:tblPrEx>
          <w:tblCellMar>
            <w:top w:w="0" w:type="dxa"/>
            <w:bottom w:w="0" w:type="dxa"/>
          </w:tblCellMar>
        </w:tblPrEx>
        <w:trPr>
          <w:cantSplit/>
          <w:trHeight w:val="560"/>
        </w:trPr>
        <w:tc>
          <w:tcPr>
            <w:tcW w:w="700" w:type="dxa"/>
            <w:tcMar>
              <w:top w:w="0" w:type="dxa"/>
              <w:bottom w:w="0" w:type="dxa"/>
            </w:tcMar>
            <w:vAlign w:val="center"/>
          </w:tcPr>
          <w:p w14:paraId="5F106678" w14:textId="77777777" w:rsidR="009C6F8A" w:rsidRDefault="00727BBA">
            <w:pPr>
              <w:keepNext/>
              <w:keepLines/>
              <w:spacing w:after="0" w:line="240" w:lineRule="auto"/>
            </w:pPr>
            <w:r>
              <w:rPr>
                <w:sz w:val="18"/>
              </w:rPr>
              <w:t>0226</w:t>
            </w:r>
          </w:p>
        </w:tc>
        <w:tc>
          <w:tcPr>
            <w:tcW w:w="3180" w:type="dxa"/>
            <w:tcMar>
              <w:top w:w="0" w:type="dxa"/>
              <w:bottom w:w="0" w:type="dxa"/>
            </w:tcMar>
            <w:vAlign w:val="center"/>
          </w:tcPr>
          <w:p w14:paraId="1337F20C" w14:textId="77777777" w:rsidR="009C6F8A" w:rsidRDefault="00727BBA">
            <w:pPr>
              <w:keepNext/>
              <w:keepLines/>
              <w:spacing w:after="0" w:line="240" w:lineRule="auto"/>
            </w:pPr>
            <w:r>
              <w:rPr>
                <w:sz w:val="18"/>
              </w:rPr>
              <w:t>Sportska i glazbena oprema</w:t>
            </w:r>
          </w:p>
        </w:tc>
        <w:tc>
          <w:tcPr>
            <w:tcW w:w="700" w:type="dxa"/>
            <w:tcMar>
              <w:top w:w="0" w:type="dxa"/>
              <w:bottom w:w="0" w:type="dxa"/>
            </w:tcMar>
            <w:vAlign w:val="center"/>
          </w:tcPr>
          <w:p w14:paraId="644D71C7" w14:textId="77777777" w:rsidR="009C6F8A" w:rsidRDefault="00727BBA">
            <w:pPr>
              <w:keepNext/>
              <w:keepLines/>
              <w:spacing w:after="0" w:line="240" w:lineRule="auto"/>
            </w:pPr>
            <w:r>
              <w:rPr>
                <w:sz w:val="18"/>
              </w:rPr>
              <w:t>0226</w:t>
            </w:r>
          </w:p>
        </w:tc>
        <w:tc>
          <w:tcPr>
            <w:tcW w:w="1860" w:type="dxa"/>
            <w:tcMar>
              <w:top w:w="0" w:type="dxa"/>
              <w:bottom w:w="0" w:type="dxa"/>
            </w:tcMar>
            <w:vAlign w:val="center"/>
          </w:tcPr>
          <w:p w14:paraId="0A12BAB6" w14:textId="77777777" w:rsidR="009C6F8A" w:rsidRDefault="00727BBA">
            <w:pPr>
              <w:keepNext/>
              <w:keepLines/>
              <w:spacing w:after="0" w:line="240" w:lineRule="auto"/>
              <w:jc w:val="right"/>
            </w:pPr>
            <w:r>
              <w:rPr>
                <w:sz w:val="18"/>
              </w:rPr>
              <w:t>580.419,00</w:t>
            </w:r>
          </w:p>
        </w:tc>
        <w:tc>
          <w:tcPr>
            <w:tcW w:w="1860" w:type="dxa"/>
            <w:tcMar>
              <w:top w:w="0" w:type="dxa"/>
              <w:bottom w:w="0" w:type="dxa"/>
            </w:tcMar>
            <w:vAlign w:val="center"/>
          </w:tcPr>
          <w:p w14:paraId="0B917C50" w14:textId="77777777" w:rsidR="009C6F8A" w:rsidRDefault="00727BBA">
            <w:pPr>
              <w:keepNext/>
              <w:keepLines/>
              <w:spacing w:after="0" w:line="240" w:lineRule="auto"/>
              <w:jc w:val="right"/>
            </w:pPr>
            <w:r>
              <w:rPr>
                <w:sz w:val="18"/>
              </w:rPr>
              <w:t>662.423,67</w:t>
            </w:r>
          </w:p>
        </w:tc>
        <w:tc>
          <w:tcPr>
            <w:tcW w:w="700" w:type="dxa"/>
            <w:tcMar>
              <w:top w:w="0" w:type="dxa"/>
              <w:bottom w:w="0" w:type="dxa"/>
            </w:tcMar>
            <w:vAlign w:val="center"/>
          </w:tcPr>
          <w:p w14:paraId="675AB245" w14:textId="77777777" w:rsidR="009C6F8A" w:rsidRDefault="00727BBA">
            <w:pPr>
              <w:keepNext/>
              <w:keepLines/>
              <w:spacing w:after="0" w:line="240" w:lineRule="auto"/>
              <w:jc w:val="right"/>
            </w:pPr>
            <w:r>
              <w:rPr>
                <w:sz w:val="18"/>
              </w:rPr>
              <w:t>114,1</w:t>
            </w:r>
          </w:p>
        </w:tc>
      </w:tr>
    </w:tbl>
    <w:p w14:paraId="528BCC34" w14:textId="77777777" w:rsidR="009C6F8A" w:rsidRDefault="009C6F8A">
      <w:pPr>
        <w:spacing w:after="0"/>
      </w:pPr>
    </w:p>
    <w:p w14:paraId="5825CE84" w14:textId="77777777" w:rsidR="009C6F8A" w:rsidRDefault="00727BBA">
      <w:r>
        <w:t>Povećanje se odnosi na Grad koji je tijekom 2025. godine nabavio igrala za dječje igralište u ulici Gmajna u Rakitju i park Ljudevita Gaja u Brezju te raznu sportsku opremu za zgrade DV Slavuj u Novakima i Strmcu.</w:t>
      </w:r>
    </w:p>
    <w:p w14:paraId="3D707FCF" w14:textId="77777777" w:rsidR="009C6F8A" w:rsidRDefault="009C6F8A"/>
    <w:p w14:paraId="1FE40A95" w14:textId="77777777" w:rsidR="009C6F8A" w:rsidRDefault="00727BBA">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0406F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6BC91"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CB044"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72CCE9"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BE6EE"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46FB98"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2EECD4" w14:textId="77777777" w:rsidR="009C6F8A" w:rsidRDefault="00727BBA">
            <w:pPr>
              <w:keepNext/>
              <w:keepLines/>
              <w:spacing w:after="0" w:line="240" w:lineRule="auto"/>
              <w:jc w:val="center"/>
            </w:pPr>
            <w:r>
              <w:rPr>
                <w:b/>
                <w:sz w:val="18"/>
              </w:rPr>
              <w:t>Indeks (%)</w:t>
            </w:r>
          </w:p>
        </w:tc>
      </w:tr>
      <w:tr w:rsidR="009C6F8A" w14:paraId="08A7A527" w14:textId="77777777">
        <w:tblPrEx>
          <w:tblCellMar>
            <w:top w:w="0" w:type="dxa"/>
            <w:bottom w:w="0" w:type="dxa"/>
          </w:tblCellMar>
        </w:tblPrEx>
        <w:trPr>
          <w:cantSplit/>
          <w:trHeight w:val="560"/>
        </w:trPr>
        <w:tc>
          <w:tcPr>
            <w:tcW w:w="700" w:type="dxa"/>
            <w:tcMar>
              <w:top w:w="0" w:type="dxa"/>
              <w:bottom w:w="0" w:type="dxa"/>
            </w:tcMar>
            <w:vAlign w:val="center"/>
          </w:tcPr>
          <w:p w14:paraId="2303B18A" w14:textId="77777777" w:rsidR="009C6F8A" w:rsidRDefault="00727BBA">
            <w:pPr>
              <w:keepNext/>
              <w:keepLines/>
              <w:spacing w:after="0" w:line="240" w:lineRule="auto"/>
            </w:pPr>
            <w:r>
              <w:rPr>
                <w:sz w:val="18"/>
              </w:rPr>
              <w:t>0227</w:t>
            </w:r>
          </w:p>
        </w:tc>
        <w:tc>
          <w:tcPr>
            <w:tcW w:w="3180" w:type="dxa"/>
            <w:tcMar>
              <w:top w:w="0" w:type="dxa"/>
              <w:bottom w:w="0" w:type="dxa"/>
            </w:tcMar>
            <w:vAlign w:val="center"/>
          </w:tcPr>
          <w:p w14:paraId="5FBEBBA5" w14:textId="77777777" w:rsidR="009C6F8A" w:rsidRDefault="00727BBA">
            <w:pPr>
              <w:keepNext/>
              <w:keepLines/>
              <w:spacing w:after="0" w:line="240" w:lineRule="auto"/>
            </w:pPr>
            <w:r>
              <w:rPr>
                <w:sz w:val="18"/>
              </w:rPr>
              <w:t>Uređaji, strojevi i oprema za ostale namjene</w:t>
            </w:r>
          </w:p>
        </w:tc>
        <w:tc>
          <w:tcPr>
            <w:tcW w:w="700" w:type="dxa"/>
            <w:tcMar>
              <w:top w:w="0" w:type="dxa"/>
              <w:bottom w:w="0" w:type="dxa"/>
            </w:tcMar>
            <w:vAlign w:val="center"/>
          </w:tcPr>
          <w:p w14:paraId="333191D8" w14:textId="77777777" w:rsidR="009C6F8A" w:rsidRDefault="00727BBA">
            <w:pPr>
              <w:keepNext/>
              <w:keepLines/>
              <w:spacing w:after="0" w:line="240" w:lineRule="auto"/>
            </w:pPr>
            <w:r>
              <w:rPr>
                <w:sz w:val="18"/>
              </w:rPr>
              <w:t>0227</w:t>
            </w:r>
          </w:p>
        </w:tc>
        <w:tc>
          <w:tcPr>
            <w:tcW w:w="1860" w:type="dxa"/>
            <w:tcMar>
              <w:top w:w="0" w:type="dxa"/>
              <w:bottom w:w="0" w:type="dxa"/>
            </w:tcMar>
            <w:vAlign w:val="center"/>
          </w:tcPr>
          <w:p w14:paraId="0FB4CA56" w14:textId="77777777" w:rsidR="009C6F8A" w:rsidRDefault="00727BBA">
            <w:pPr>
              <w:keepNext/>
              <w:keepLines/>
              <w:spacing w:after="0" w:line="240" w:lineRule="auto"/>
              <w:jc w:val="right"/>
            </w:pPr>
            <w:r>
              <w:rPr>
                <w:sz w:val="18"/>
              </w:rPr>
              <w:t>3.621.507,63</w:t>
            </w:r>
          </w:p>
        </w:tc>
        <w:tc>
          <w:tcPr>
            <w:tcW w:w="1860" w:type="dxa"/>
            <w:tcMar>
              <w:top w:w="0" w:type="dxa"/>
              <w:bottom w:w="0" w:type="dxa"/>
            </w:tcMar>
            <w:vAlign w:val="center"/>
          </w:tcPr>
          <w:p w14:paraId="25C307EE" w14:textId="77777777" w:rsidR="009C6F8A" w:rsidRDefault="00727BBA">
            <w:pPr>
              <w:keepNext/>
              <w:keepLines/>
              <w:spacing w:after="0" w:line="240" w:lineRule="auto"/>
              <w:jc w:val="right"/>
            </w:pPr>
            <w:r>
              <w:rPr>
                <w:sz w:val="18"/>
              </w:rPr>
              <w:t>4.170.995,39</w:t>
            </w:r>
          </w:p>
        </w:tc>
        <w:tc>
          <w:tcPr>
            <w:tcW w:w="700" w:type="dxa"/>
            <w:tcMar>
              <w:top w:w="0" w:type="dxa"/>
              <w:bottom w:w="0" w:type="dxa"/>
            </w:tcMar>
            <w:vAlign w:val="center"/>
          </w:tcPr>
          <w:p w14:paraId="46140243" w14:textId="77777777" w:rsidR="009C6F8A" w:rsidRDefault="00727BBA">
            <w:pPr>
              <w:keepNext/>
              <w:keepLines/>
              <w:spacing w:after="0" w:line="240" w:lineRule="auto"/>
              <w:jc w:val="right"/>
            </w:pPr>
            <w:r>
              <w:rPr>
                <w:sz w:val="18"/>
              </w:rPr>
              <w:t>115,2</w:t>
            </w:r>
          </w:p>
        </w:tc>
      </w:tr>
    </w:tbl>
    <w:p w14:paraId="2277705C" w14:textId="77777777" w:rsidR="009C6F8A" w:rsidRDefault="009C6F8A">
      <w:pPr>
        <w:spacing w:after="0"/>
      </w:pPr>
    </w:p>
    <w:p w14:paraId="5B1E2CD2" w14:textId="77777777" w:rsidR="009C6F8A" w:rsidRDefault="00727BBA">
      <w:r>
        <w:t xml:space="preserve">Povećanje je rezultat novonabavljene opreme kod Grada  i kod oba proračunska korisnika.  Kod Grada se odnosi na nabavu cestovnih svjetiljki za modernizaciju javne rasvjete na području Grada, nabavu autobusnih nadstrešnica, </w:t>
      </w:r>
      <w:proofErr w:type="spellStart"/>
      <w:r>
        <w:t>kompostera</w:t>
      </w:r>
      <w:proofErr w:type="spellEnd"/>
      <w:r>
        <w:t>, nabavu urbane opreme za dječja igrališta u Rakitju i Strmcu  i opreme za DV Slavuj u Novakima i Strmcu. Proračunski korisnik  DV Slavuj je nabavljao opremu i strojeve za kuhinju a Knjižnica Mihaela Šiloboda  opremu za knjižnicu.</w:t>
      </w:r>
    </w:p>
    <w:p w14:paraId="2FAA655B" w14:textId="77777777" w:rsidR="009C6F8A" w:rsidRDefault="009C6F8A"/>
    <w:p w14:paraId="36FF3192" w14:textId="77777777" w:rsidR="009C6F8A" w:rsidRDefault="00727BBA">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3BD2B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1D7BE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26A91A"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22B2F"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F4A4B"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C1FD21"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18E2B0" w14:textId="77777777" w:rsidR="009C6F8A" w:rsidRDefault="00727BBA">
            <w:pPr>
              <w:keepNext/>
              <w:keepLines/>
              <w:spacing w:after="0" w:line="240" w:lineRule="auto"/>
              <w:jc w:val="center"/>
            </w:pPr>
            <w:r>
              <w:rPr>
                <w:b/>
                <w:sz w:val="18"/>
              </w:rPr>
              <w:t>Indeks (%)</w:t>
            </w:r>
          </w:p>
        </w:tc>
      </w:tr>
      <w:tr w:rsidR="009C6F8A" w14:paraId="3F0066F2" w14:textId="77777777">
        <w:tblPrEx>
          <w:tblCellMar>
            <w:top w:w="0" w:type="dxa"/>
            <w:bottom w:w="0" w:type="dxa"/>
          </w:tblCellMar>
        </w:tblPrEx>
        <w:trPr>
          <w:cantSplit/>
          <w:trHeight w:val="560"/>
        </w:trPr>
        <w:tc>
          <w:tcPr>
            <w:tcW w:w="700" w:type="dxa"/>
            <w:tcMar>
              <w:top w:w="0" w:type="dxa"/>
              <w:bottom w:w="0" w:type="dxa"/>
            </w:tcMar>
            <w:vAlign w:val="center"/>
          </w:tcPr>
          <w:p w14:paraId="1B3F1049" w14:textId="77777777" w:rsidR="009C6F8A" w:rsidRDefault="00727BBA">
            <w:pPr>
              <w:keepNext/>
              <w:keepLines/>
              <w:spacing w:after="0" w:line="240" w:lineRule="auto"/>
            </w:pPr>
            <w:r>
              <w:rPr>
                <w:sz w:val="18"/>
              </w:rPr>
              <w:t>0231</w:t>
            </w:r>
          </w:p>
        </w:tc>
        <w:tc>
          <w:tcPr>
            <w:tcW w:w="3180" w:type="dxa"/>
            <w:tcMar>
              <w:top w:w="0" w:type="dxa"/>
              <w:bottom w:w="0" w:type="dxa"/>
            </w:tcMar>
            <w:vAlign w:val="center"/>
          </w:tcPr>
          <w:p w14:paraId="5D6089B9" w14:textId="77777777" w:rsidR="009C6F8A" w:rsidRDefault="00727BBA">
            <w:pPr>
              <w:keepNext/>
              <w:keepLines/>
              <w:spacing w:after="0" w:line="240" w:lineRule="auto"/>
            </w:pPr>
            <w:r>
              <w:rPr>
                <w:sz w:val="18"/>
              </w:rPr>
              <w:t>Prijevozna sredstva u cestovnom prometu</w:t>
            </w:r>
          </w:p>
        </w:tc>
        <w:tc>
          <w:tcPr>
            <w:tcW w:w="700" w:type="dxa"/>
            <w:tcMar>
              <w:top w:w="0" w:type="dxa"/>
              <w:bottom w:w="0" w:type="dxa"/>
            </w:tcMar>
            <w:vAlign w:val="center"/>
          </w:tcPr>
          <w:p w14:paraId="5B9069CD" w14:textId="77777777" w:rsidR="009C6F8A" w:rsidRDefault="00727BBA">
            <w:pPr>
              <w:keepNext/>
              <w:keepLines/>
              <w:spacing w:after="0" w:line="240" w:lineRule="auto"/>
            </w:pPr>
            <w:r>
              <w:rPr>
                <w:sz w:val="18"/>
              </w:rPr>
              <w:t>0231</w:t>
            </w:r>
          </w:p>
        </w:tc>
        <w:tc>
          <w:tcPr>
            <w:tcW w:w="1860" w:type="dxa"/>
            <w:tcMar>
              <w:top w:w="0" w:type="dxa"/>
              <w:bottom w:w="0" w:type="dxa"/>
            </w:tcMar>
            <w:vAlign w:val="center"/>
          </w:tcPr>
          <w:p w14:paraId="4E37D761" w14:textId="77777777" w:rsidR="009C6F8A" w:rsidRDefault="00727BBA">
            <w:pPr>
              <w:keepNext/>
              <w:keepLines/>
              <w:spacing w:after="0" w:line="240" w:lineRule="auto"/>
              <w:jc w:val="right"/>
            </w:pPr>
            <w:r>
              <w:rPr>
                <w:sz w:val="18"/>
              </w:rPr>
              <w:t>226.917,38</w:t>
            </w:r>
          </w:p>
        </w:tc>
        <w:tc>
          <w:tcPr>
            <w:tcW w:w="1860" w:type="dxa"/>
            <w:tcMar>
              <w:top w:w="0" w:type="dxa"/>
              <w:bottom w:w="0" w:type="dxa"/>
            </w:tcMar>
            <w:vAlign w:val="center"/>
          </w:tcPr>
          <w:p w14:paraId="4F4E9262" w14:textId="77777777" w:rsidR="009C6F8A" w:rsidRDefault="00727BBA">
            <w:pPr>
              <w:keepNext/>
              <w:keepLines/>
              <w:spacing w:after="0" w:line="240" w:lineRule="auto"/>
              <w:jc w:val="right"/>
            </w:pPr>
            <w:r>
              <w:rPr>
                <w:sz w:val="18"/>
              </w:rPr>
              <w:t>333.435,05</w:t>
            </w:r>
          </w:p>
        </w:tc>
        <w:tc>
          <w:tcPr>
            <w:tcW w:w="700" w:type="dxa"/>
            <w:tcMar>
              <w:top w:w="0" w:type="dxa"/>
              <w:bottom w:w="0" w:type="dxa"/>
            </w:tcMar>
            <w:vAlign w:val="center"/>
          </w:tcPr>
          <w:p w14:paraId="145293E5" w14:textId="77777777" w:rsidR="009C6F8A" w:rsidRDefault="00727BBA">
            <w:pPr>
              <w:keepNext/>
              <w:keepLines/>
              <w:spacing w:after="0" w:line="240" w:lineRule="auto"/>
              <w:jc w:val="right"/>
            </w:pPr>
            <w:r>
              <w:rPr>
                <w:sz w:val="18"/>
              </w:rPr>
              <w:t>146,9</w:t>
            </w:r>
          </w:p>
        </w:tc>
      </w:tr>
    </w:tbl>
    <w:p w14:paraId="0D7A38F2" w14:textId="77777777" w:rsidR="009C6F8A" w:rsidRDefault="009C6F8A">
      <w:pPr>
        <w:spacing w:after="0"/>
      </w:pPr>
    </w:p>
    <w:p w14:paraId="24E74607" w14:textId="77777777" w:rsidR="009C6F8A" w:rsidRDefault="00727BBA">
      <w:r>
        <w:t>Povećanje je rezultat nabave 5 automobila za potrebe Gradskih službi.</w:t>
      </w:r>
    </w:p>
    <w:p w14:paraId="5776312A" w14:textId="77777777" w:rsidR="009C6F8A" w:rsidRDefault="009C6F8A"/>
    <w:p w14:paraId="6C49020E" w14:textId="77777777" w:rsidR="009C6F8A" w:rsidRDefault="00727BBA">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892E3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0BF35"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14324B"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DA192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39F97"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0E6D6C"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88B4F5" w14:textId="77777777" w:rsidR="009C6F8A" w:rsidRDefault="00727BBA">
            <w:pPr>
              <w:keepNext/>
              <w:keepLines/>
              <w:spacing w:after="0" w:line="240" w:lineRule="auto"/>
              <w:jc w:val="center"/>
            </w:pPr>
            <w:r>
              <w:rPr>
                <w:b/>
                <w:sz w:val="18"/>
              </w:rPr>
              <w:t>Indeks (%)</w:t>
            </w:r>
          </w:p>
        </w:tc>
      </w:tr>
      <w:tr w:rsidR="009C6F8A" w14:paraId="72C5EF6C" w14:textId="77777777">
        <w:tblPrEx>
          <w:tblCellMar>
            <w:top w:w="0" w:type="dxa"/>
            <w:bottom w:w="0" w:type="dxa"/>
          </w:tblCellMar>
        </w:tblPrEx>
        <w:trPr>
          <w:cantSplit/>
          <w:trHeight w:val="560"/>
        </w:trPr>
        <w:tc>
          <w:tcPr>
            <w:tcW w:w="700" w:type="dxa"/>
            <w:tcMar>
              <w:top w:w="0" w:type="dxa"/>
              <w:bottom w:w="0" w:type="dxa"/>
            </w:tcMar>
            <w:vAlign w:val="center"/>
          </w:tcPr>
          <w:p w14:paraId="0641113E" w14:textId="77777777" w:rsidR="009C6F8A" w:rsidRDefault="00727BBA">
            <w:pPr>
              <w:keepNext/>
              <w:keepLines/>
              <w:spacing w:after="0" w:line="240" w:lineRule="auto"/>
            </w:pPr>
            <w:r>
              <w:rPr>
                <w:sz w:val="18"/>
              </w:rPr>
              <w:t>0241</w:t>
            </w:r>
          </w:p>
        </w:tc>
        <w:tc>
          <w:tcPr>
            <w:tcW w:w="3180" w:type="dxa"/>
            <w:tcMar>
              <w:top w:w="0" w:type="dxa"/>
              <w:bottom w:w="0" w:type="dxa"/>
            </w:tcMar>
            <w:vAlign w:val="center"/>
          </w:tcPr>
          <w:p w14:paraId="093F3112" w14:textId="77777777" w:rsidR="009C6F8A" w:rsidRDefault="00727BBA">
            <w:pPr>
              <w:keepNext/>
              <w:keepLines/>
              <w:spacing w:after="0" w:line="240" w:lineRule="auto"/>
            </w:pPr>
            <w:r>
              <w:rPr>
                <w:sz w:val="18"/>
              </w:rPr>
              <w:t>Knjige</w:t>
            </w:r>
          </w:p>
        </w:tc>
        <w:tc>
          <w:tcPr>
            <w:tcW w:w="700" w:type="dxa"/>
            <w:tcMar>
              <w:top w:w="0" w:type="dxa"/>
              <w:bottom w:w="0" w:type="dxa"/>
            </w:tcMar>
            <w:vAlign w:val="center"/>
          </w:tcPr>
          <w:p w14:paraId="584A4632" w14:textId="77777777" w:rsidR="009C6F8A" w:rsidRDefault="00727BBA">
            <w:pPr>
              <w:keepNext/>
              <w:keepLines/>
              <w:spacing w:after="0" w:line="240" w:lineRule="auto"/>
            </w:pPr>
            <w:r>
              <w:rPr>
                <w:sz w:val="18"/>
              </w:rPr>
              <w:t>0241</w:t>
            </w:r>
          </w:p>
        </w:tc>
        <w:tc>
          <w:tcPr>
            <w:tcW w:w="1860" w:type="dxa"/>
            <w:tcMar>
              <w:top w:w="0" w:type="dxa"/>
              <w:bottom w:w="0" w:type="dxa"/>
            </w:tcMar>
            <w:vAlign w:val="center"/>
          </w:tcPr>
          <w:p w14:paraId="3473D105" w14:textId="77777777" w:rsidR="009C6F8A" w:rsidRDefault="00727BBA">
            <w:pPr>
              <w:keepNext/>
              <w:keepLines/>
              <w:spacing w:after="0" w:line="240" w:lineRule="auto"/>
              <w:jc w:val="right"/>
            </w:pPr>
            <w:r>
              <w:rPr>
                <w:sz w:val="18"/>
              </w:rPr>
              <w:t>303.115,10</w:t>
            </w:r>
          </w:p>
        </w:tc>
        <w:tc>
          <w:tcPr>
            <w:tcW w:w="1860" w:type="dxa"/>
            <w:tcMar>
              <w:top w:w="0" w:type="dxa"/>
              <w:bottom w:w="0" w:type="dxa"/>
            </w:tcMar>
            <w:vAlign w:val="center"/>
          </w:tcPr>
          <w:p w14:paraId="5A267306" w14:textId="77777777" w:rsidR="009C6F8A" w:rsidRDefault="00727BBA">
            <w:pPr>
              <w:keepNext/>
              <w:keepLines/>
              <w:spacing w:after="0" w:line="240" w:lineRule="auto"/>
              <w:jc w:val="right"/>
            </w:pPr>
            <w:r>
              <w:rPr>
                <w:sz w:val="18"/>
              </w:rPr>
              <w:t>384.620,25</w:t>
            </w:r>
          </w:p>
        </w:tc>
        <w:tc>
          <w:tcPr>
            <w:tcW w:w="700" w:type="dxa"/>
            <w:tcMar>
              <w:top w:w="0" w:type="dxa"/>
              <w:bottom w:w="0" w:type="dxa"/>
            </w:tcMar>
            <w:vAlign w:val="center"/>
          </w:tcPr>
          <w:p w14:paraId="10178E97" w14:textId="77777777" w:rsidR="009C6F8A" w:rsidRDefault="00727BBA">
            <w:pPr>
              <w:keepNext/>
              <w:keepLines/>
              <w:spacing w:after="0" w:line="240" w:lineRule="auto"/>
              <w:jc w:val="right"/>
            </w:pPr>
            <w:r>
              <w:rPr>
                <w:sz w:val="18"/>
              </w:rPr>
              <w:t>126,9</w:t>
            </w:r>
          </w:p>
        </w:tc>
      </w:tr>
    </w:tbl>
    <w:p w14:paraId="2E7F07C2" w14:textId="77777777" w:rsidR="009C6F8A" w:rsidRDefault="009C6F8A">
      <w:pPr>
        <w:spacing w:after="0"/>
      </w:pPr>
    </w:p>
    <w:p w14:paraId="5A596B53" w14:textId="77777777" w:rsidR="009C6F8A" w:rsidRDefault="00727BBA">
      <w:r>
        <w:t xml:space="preserve">Povećanje je rezultat nabave knjiga kod proračunskog korisnika Knjižnice Mihaela </w:t>
      </w:r>
      <w:proofErr w:type="spellStart"/>
      <w:r>
        <w:t>šiloboda</w:t>
      </w:r>
      <w:proofErr w:type="spellEnd"/>
      <w:r>
        <w:t>.</w:t>
      </w:r>
    </w:p>
    <w:p w14:paraId="337744CA" w14:textId="77777777" w:rsidR="009C6F8A" w:rsidRDefault="009C6F8A"/>
    <w:p w14:paraId="0196D9F8" w14:textId="77777777" w:rsidR="009C6F8A" w:rsidRDefault="00727BBA">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F4BDE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34B7BE"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79B3C9"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32177"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57A28E"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03F0A3"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3368E4" w14:textId="77777777" w:rsidR="009C6F8A" w:rsidRDefault="00727BBA">
            <w:pPr>
              <w:keepNext/>
              <w:keepLines/>
              <w:spacing w:after="0" w:line="240" w:lineRule="auto"/>
              <w:jc w:val="center"/>
            </w:pPr>
            <w:r>
              <w:rPr>
                <w:b/>
                <w:sz w:val="18"/>
              </w:rPr>
              <w:t>Indeks (%)</w:t>
            </w:r>
          </w:p>
        </w:tc>
      </w:tr>
      <w:tr w:rsidR="009C6F8A" w14:paraId="6E17B3C0" w14:textId="77777777">
        <w:tblPrEx>
          <w:tblCellMar>
            <w:top w:w="0" w:type="dxa"/>
            <w:bottom w:w="0" w:type="dxa"/>
          </w:tblCellMar>
        </w:tblPrEx>
        <w:trPr>
          <w:cantSplit/>
          <w:trHeight w:val="560"/>
        </w:trPr>
        <w:tc>
          <w:tcPr>
            <w:tcW w:w="700" w:type="dxa"/>
            <w:tcMar>
              <w:top w:w="0" w:type="dxa"/>
              <w:bottom w:w="0" w:type="dxa"/>
            </w:tcMar>
            <w:vAlign w:val="center"/>
          </w:tcPr>
          <w:p w14:paraId="7C982F87" w14:textId="77777777" w:rsidR="009C6F8A" w:rsidRDefault="00727BBA">
            <w:pPr>
              <w:keepNext/>
              <w:keepLines/>
              <w:spacing w:after="0" w:line="240" w:lineRule="auto"/>
            </w:pPr>
            <w:r>
              <w:rPr>
                <w:sz w:val="18"/>
              </w:rPr>
              <w:t>0251</w:t>
            </w:r>
          </w:p>
        </w:tc>
        <w:tc>
          <w:tcPr>
            <w:tcW w:w="3180" w:type="dxa"/>
            <w:tcMar>
              <w:top w:w="0" w:type="dxa"/>
              <w:bottom w:w="0" w:type="dxa"/>
            </w:tcMar>
            <w:vAlign w:val="center"/>
          </w:tcPr>
          <w:p w14:paraId="7564488C" w14:textId="77777777" w:rsidR="009C6F8A" w:rsidRDefault="00727BBA">
            <w:pPr>
              <w:keepNext/>
              <w:keepLines/>
              <w:spacing w:after="0" w:line="240" w:lineRule="auto"/>
            </w:pPr>
            <w:r>
              <w:rPr>
                <w:sz w:val="18"/>
              </w:rPr>
              <w:t>Višegodišnji nasadi</w:t>
            </w:r>
          </w:p>
        </w:tc>
        <w:tc>
          <w:tcPr>
            <w:tcW w:w="700" w:type="dxa"/>
            <w:tcMar>
              <w:top w:w="0" w:type="dxa"/>
              <w:bottom w:w="0" w:type="dxa"/>
            </w:tcMar>
            <w:vAlign w:val="center"/>
          </w:tcPr>
          <w:p w14:paraId="23402277" w14:textId="77777777" w:rsidR="009C6F8A" w:rsidRDefault="00727BBA">
            <w:pPr>
              <w:keepNext/>
              <w:keepLines/>
              <w:spacing w:after="0" w:line="240" w:lineRule="auto"/>
            </w:pPr>
            <w:r>
              <w:rPr>
                <w:sz w:val="18"/>
              </w:rPr>
              <w:t>0251</w:t>
            </w:r>
          </w:p>
        </w:tc>
        <w:tc>
          <w:tcPr>
            <w:tcW w:w="1860" w:type="dxa"/>
            <w:tcMar>
              <w:top w:w="0" w:type="dxa"/>
              <w:bottom w:w="0" w:type="dxa"/>
            </w:tcMar>
            <w:vAlign w:val="center"/>
          </w:tcPr>
          <w:p w14:paraId="6E76EF97" w14:textId="77777777" w:rsidR="009C6F8A" w:rsidRDefault="00727BBA">
            <w:pPr>
              <w:keepNext/>
              <w:keepLines/>
              <w:spacing w:after="0" w:line="240" w:lineRule="auto"/>
              <w:jc w:val="right"/>
            </w:pPr>
            <w:r>
              <w:rPr>
                <w:sz w:val="18"/>
              </w:rPr>
              <w:t>30.724,66</w:t>
            </w:r>
          </w:p>
        </w:tc>
        <w:tc>
          <w:tcPr>
            <w:tcW w:w="1860" w:type="dxa"/>
            <w:tcMar>
              <w:top w:w="0" w:type="dxa"/>
              <w:bottom w:w="0" w:type="dxa"/>
            </w:tcMar>
            <w:vAlign w:val="center"/>
          </w:tcPr>
          <w:p w14:paraId="63D2752E" w14:textId="77777777" w:rsidR="009C6F8A" w:rsidRDefault="00727BBA">
            <w:pPr>
              <w:keepNext/>
              <w:keepLines/>
              <w:spacing w:after="0" w:line="240" w:lineRule="auto"/>
              <w:jc w:val="right"/>
            </w:pPr>
            <w:r>
              <w:rPr>
                <w:sz w:val="18"/>
              </w:rPr>
              <w:t>53.103,42</w:t>
            </w:r>
          </w:p>
        </w:tc>
        <w:tc>
          <w:tcPr>
            <w:tcW w:w="700" w:type="dxa"/>
            <w:tcMar>
              <w:top w:w="0" w:type="dxa"/>
              <w:bottom w:w="0" w:type="dxa"/>
            </w:tcMar>
            <w:vAlign w:val="center"/>
          </w:tcPr>
          <w:p w14:paraId="1BE65355" w14:textId="77777777" w:rsidR="009C6F8A" w:rsidRDefault="00727BBA">
            <w:pPr>
              <w:keepNext/>
              <w:keepLines/>
              <w:spacing w:after="0" w:line="240" w:lineRule="auto"/>
              <w:jc w:val="right"/>
            </w:pPr>
            <w:r>
              <w:rPr>
                <w:sz w:val="18"/>
              </w:rPr>
              <w:t>172,8</w:t>
            </w:r>
          </w:p>
        </w:tc>
      </w:tr>
    </w:tbl>
    <w:p w14:paraId="1E57BEB8" w14:textId="77777777" w:rsidR="009C6F8A" w:rsidRDefault="009C6F8A">
      <w:pPr>
        <w:spacing w:after="0"/>
      </w:pPr>
    </w:p>
    <w:p w14:paraId="273C56F6" w14:textId="77777777" w:rsidR="009C6F8A" w:rsidRDefault="00727BBA">
      <w:r>
        <w:t>Povećanje je rezultat nabave sadnica drveća u sklopu projekta od izvora do mora i nabava sadnica za uređenje dječjeg igrališta u ulici Gmajna u Rakitju kod Grada.</w:t>
      </w:r>
    </w:p>
    <w:p w14:paraId="50E0E519" w14:textId="77777777" w:rsidR="009C6F8A" w:rsidRDefault="009C6F8A"/>
    <w:p w14:paraId="5EC1BFBB" w14:textId="77777777" w:rsidR="009C6F8A" w:rsidRDefault="00727BBA">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ED1B4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E545FF"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BB120A"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FF1A2"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5B230"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21A937"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656B49" w14:textId="77777777" w:rsidR="009C6F8A" w:rsidRDefault="00727BBA">
            <w:pPr>
              <w:keepNext/>
              <w:keepLines/>
              <w:spacing w:after="0" w:line="240" w:lineRule="auto"/>
              <w:jc w:val="center"/>
            </w:pPr>
            <w:r>
              <w:rPr>
                <w:b/>
                <w:sz w:val="18"/>
              </w:rPr>
              <w:t>Indeks (%)</w:t>
            </w:r>
          </w:p>
        </w:tc>
      </w:tr>
      <w:tr w:rsidR="009C6F8A" w14:paraId="724767CD" w14:textId="77777777">
        <w:tblPrEx>
          <w:tblCellMar>
            <w:top w:w="0" w:type="dxa"/>
            <w:bottom w:w="0" w:type="dxa"/>
          </w:tblCellMar>
        </w:tblPrEx>
        <w:trPr>
          <w:cantSplit/>
          <w:trHeight w:val="560"/>
        </w:trPr>
        <w:tc>
          <w:tcPr>
            <w:tcW w:w="700" w:type="dxa"/>
            <w:tcMar>
              <w:top w:w="0" w:type="dxa"/>
              <w:bottom w:w="0" w:type="dxa"/>
            </w:tcMar>
            <w:vAlign w:val="center"/>
          </w:tcPr>
          <w:p w14:paraId="5DFBCD57" w14:textId="77777777" w:rsidR="009C6F8A" w:rsidRDefault="00727BBA">
            <w:pPr>
              <w:keepNext/>
              <w:keepLines/>
              <w:spacing w:after="0" w:line="240" w:lineRule="auto"/>
            </w:pPr>
            <w:r>
              <w:rPr>
                <w:sz w:val="18"/>
              </w:rPr>
              <w:t>05</w:t>
            </w:r>
          </w:p>
        </w:tc>
        <w:tc>
          <w:tcPr>
            <w:tcW w:w="3180" w:type="dxa"/>
            <w:tcMar>
              <w:top w:w="0" w:type="dxa"/>
              <w:bottom w:w="0" w:type="dxa"/>
            </w:tcMar>
            <w:vAlign w:val="center"/>
          </w:tcPr>
          <w:p w14:paraId="20016C42" w14:textId="77777777" w:rsidR="009C6F8A" w:rsidRDefault="00727BBA">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71A2D7CC" w14:textId="77777777" w:rsidR="009C6F8A" w:rsidRDefault="00727BBA">
            <w:pPr>
              <w:keepNext/>
              <w:keepLines/>
              <w:spacing w:after="0" w:line="240" w:lineRule="auto"/>
            </w:pPr>
            <w:r>
              <w:rPr>
                <w:sz w:val="18"/>
              </w:rPr>
              <w:t>05</w:t>
            </w:r>
          </w:p>
        </w:tc>
        <w:tc>
          <w:tcPr>
            <w:tcW w:w="1860" w:type="dxa"/>
            <w:tcMar>
              <w:top w:w="0" w:type="dxa"/>
              <w:bottom w:w="0" w:type="dxa"/>
            </w:tcMar>
            <w:vAlign w:val="center"/>
          </w:tcPr>
          <w:p w14:paraId="0F3D9351" w14:textId="77777777" w:rsidR="009C6F8A" w:rsidRDefault="00727BBA">
            <w:pPr>
              <w:keepNext/>
              <w:keepLines/>
              <w:spacing w:after="0" w:line="240" w:lineRule="auto"/>
              <w:jc w:val="right"/>
            </w:pPr>
            <w:r>
              <w:rPr>
                <w:sz w:val="18"/>
              </w:rPr>
              <w:t>14.271.608,12</w:t>
            </w:r>
          </w:p>
        </w:tc>
        <w:tc>
          <w:tcPr>
            <w:tcW w:w="1860" w:type="dxa"/>
            <w:tcMar>
              <w:top w:w="0" w:type="dxa"/>
              <w:bottom w:w="0" w:type="dxa"/>
            </w:tcMar>
            <w:vAlign w:val="center"/>
          </w:tcPr>
          <w:p w14:paraId="4849349C" w14:textId="77777777" w:rsidR="009C6F8A" w:rsidRDefault="00727BBA">
            <w:pPr>
              <w:keepNext/>
              <w:keepLines/>
              <w:spacing w:after="0" w:line="240" w:lineRule="auto"/>
              <w:jc w:val="right"/>
            </w:pPr>
            <w:r>
              <w:rPr>
                <w:sz w:val="18"/>
              </w:rPr>
              <w:t>17.361.631,75</w:t>
            </w:r>
          </w:p>
        </w:tc>
        <w:tc>
          <w:tcPr>
            <w:tcW w:w="700" w:type="dxa"/>
            <w:tcMar>
              <w:top w:w="0" w:type="dxa"/>
              <w:bottom w:w="0" w:type="dxa"/>
            </w:tcMar>
            <w:vAlign w:val="center"/>
          </w:tcPr>
          <w:p w14:paraId="3B7428A0" w14:textId="77777777" w:rsidR="009C6F8A" w:rsidRDefault="00727BBA">
            <w:pPr>
              <w:keepNext/>
              <w:keepLines/>
              <w:spacing w:after="0" w:line="240" w:lineRule="auto"/>
              <w:jc w:val="right"/>
            </w:pPr>
            <w:r>
              <w:rPr>
                <w:sz w:val="18"/>
              </w:rPr>
              <w:t>121,7</w:t>
            </w:r>
          </w:p>
        </w:tc>
      </w:tr>
    </w:tbl>
    <w:p w14:paraId="38660FF8" w14:textId="77777777" w:rsidR="009C6F8A" w:rsidRDefault="009C6F8A">
      <w:pPr>
        <w:spacing w:after="0"/>
      </w:pPr>
    </w:p>
    <w:p w14:paraId="3E7F7788" w14:textId="77777777" w:rsidR="009C6F8A" w:rsidRDefault="00727BBA">
      <w:r>
        <w:t>Iskazano povećanje najvećim dijelom se odnosi na radove na dvorcu Kerestinec.</w:t>
      </w:r>
    </w:p>
    <w:p w14:paraId="3B197F76" w14:textId="77777777" w:rsidR="009C6F8A" w:rsidRDefault="009C6F8A"/>
    <w:p w14:paraId="5C3BB0A6" w14:textId="77777777" w:rsidR="009C6F8A" w:rsidRDefault="00727BBA">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D006A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4C7E3"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54BC5"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8AB98"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BB6B0"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5C8149"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D8B764" w14:textId="77777777" w:rsidR="009C6F8A" w:rsidRDefault="00727BBA">
            <w:pPr>
              <w:keepNext/>
              <w:keepLines/>
              <w:spacing w:after="0" w:line="240" w:lineRule="auto"/>
              <w:jc w:val="center"/>
            </w:pPr>
            <w:r>
              <w:rPr>
                <w:b/>
                <w:sz w:val="18"/>
              </w:rPr>
              <w:t>Indeks (%)</w:t>
            </w:r>
          </w:p>
        </w:tc>
      </w:tr>
      <w:tr w:rsidR="009C6F8A" w14:paraId="4C25BE05" w14:textId="77777777">
        <w:tblPrEx>
          <w:tblCellMar>
            <w:top w:w="0" w:type="dxa"/>
            <w:bottom w:w="0" w:type="dxa"/>
          </w:tblCellMar>
        </w:tblPrEx>
        <w:trPr>
          <w:cantSplit/>
          <w:trHeight w:val="560"/>
        </w:trPr>
        <w:tc>
          <w:tcPr>
            <w:tcW w:w="700" w:type="dxa"/>
            <w:tcMar>
              <w:top w:w="0" w:type="dxa"/>
              <w:bottom w:w="0" w:type="dxa"/>
            </w:tcMar>
            <w:vAlign w:val="center"/>
          </w:tcPr>
          <w:p w14:paraId="63FF64B5" w14:textId="77777777" w:rsidR="009C6F8A" w:rsidRDefault="00727BBA">
            <w:pPr>
              <w:keepNext/>
              <w:keepLines/>
              <w:spacing w:after="0" w:line="240" w:lineRule="auto"/>
            </w:pPr>
            <w:r>
              <w:rPr>
                <w:sz w:val="18"/>
              </w:rPr>
              <w:t>129</w:t>
            </w:r>
          </w:p>
        </w:tc>
        <w:tc>
          <w:tcPr>
            <w:tcW w:w="3180" w:type="dxa"/>
            <w:tcMar>
              <w:top w:w="0" w:type="dxa"/>
              <w:bottom w:w="0" w:type="dxa"/>
            </w:tcMar>
            <w:vAlign w:val="center"/>
          </w:tcPr>
          <w:p w14:paraId="57C76BCA" w14:textId="77777777" w:rsidR="009C6F8A" w:rsidRDefault="00727BBA">
            <w:pPr>
              <w:keepNext/>
              <w:keepLines/>
              <w:spacing w:after="0" w:line="240" w:lineRule="auto"/>
            </w:pPr>
            <w:r>
              <w:rPr>
                <w:sz w:val="18"/>
              </w:rPr>
              <w:t>Ostala potraživanja</w:t>
            </w:r>
          </w:p>
        </w:tc>
        <w:tc>
          <w:tcPr>
            <w:tcW w:w="700" w:type="dxa"/>
            <w:tcMar>
              <w:top w:w="0" w:type="dxa"/>
              <w:bottom w:w="0" w:type="dxa"/>
            </w:tcMar>
            <w:vAlign w:val="center"/>
          </w:tcPr>
          <w:p w14:paraId="187EFDC6" w14:textId="77777777" w:rsidR="009C6F8A" w:rsidRDefault="00727BBA">
            <w:pPr>
              <w:keepNext/>
              <w:keepLines/>
              <w:spacing w:after="0" w:line="240" w:lineRule="auto"/>
            </w:pPr>
            <w:r>
              <w:rPr>
                <w:sz w:val="18"/>
              </w:rPr>
              <w:t>129</w:t>
            </w:r>
          </w:p>
        </w:tc>
        <w:tc>
          <w:tcPr>
            <w:tcW w:w="1860" w:type="dxa"/>
            <w:tcMar>
              <w:top w:w="0" w:type="dxa"/>
              <w:bottom w:w="0" w:type="dxa"/>
            </w:tcMar>
            <w:vAlign w:val="center"/>
          </w:tcPr>
          <w:p w14:paraId="5ADA6327" w14:textId="77777777" w:rsidR="009C6F8A" w:rsidRDefault="00727BBA">
            <w:pPr>
              <w:keepNext/>
              <w:keepLines/>
              <w:spacing w:after="0" w:line="240" w:lineRule="auto"/>
              <w:jc w:val="right"/>
            </w:pPr>
            <w:r>
              <w:rPr>
                <w:sz w:val="18"/>
              </w:rPr>
              <w:t>192.833,76</w:t>
            </w:r>
          </w:p>
        </w:tc>
        <w:tc>
          <w:tcPr>
            <w:tcW w:w="1860" w:type="dxa"/>
            <w:tcMar>
              <w:top w:w="0" w:type="dxa"/>
              <w:bottom w:w="0" w:type="dxa"/>
            </w:tcMar>
            <w:vAlign w:val="center"/>
          </w:tcPr>
          <w:p w14:paraId="071AC14A" w14:textId="77777777" w:rsidR="009C6F8A" w:rsidRDefault="00727BBA">
            <w:pPr>
              <w:keepNext/>
              <w:keepLines/>
              <w:spacing w:after="0" w:line="240" w:lineRule="auto"/>
              <w:jc w:val="right"/>
            </w:pPr>
            <w:r>
              <w:rPr>
                <w:sz w:val="18"/>
              </w:rPr>
              <w:t>224.500,12</w:t>
            </w:r>
          </w:p>
        </w:tc>
        <w:tc>
          <w:tcPr>
            <w:tcW w:w="700" w:type="dxa"/>
            <w:tcMar>
              <w:top w:w="0" w:type="dxa"/>
              <w:bottom w:w="0" w:type="dxa"/>
            </w:tcMar>
            <w:vAlign w:val="center"/>
          </w:tcPr>
          <w:p w14:paraId="2875D980" w14:textId="77777777" w:rsidR="009C6F8A" w:rsidRDefault="00727BBA">
            <w:pPr>
              <w:keepNext/>
              <w:keepLines/>
              <w:spacing w:after="0" w:line="240" w:lineRule="auto"/>
              <w:jc w:val="right"/>
            </w:pPr>
            <w:r>
              <w:rPr>
                <w:sz w:val="18"/>
              </w:rPr>
              <w:t>116,4</w:t>
            </w:r>
          </w:p>
        </w:tc>
      </w:tr>
    </w:tbl>
    <w:p w14:paraId="5EF79A55" w14:textId="77777777" w:rsidR="009C6F8A" w:rsidRDefault="009C6F8A">
      <w:pPr>
        <w:spacing w:after="0"/>
      </w:pPr>
    </w:p>
    <w:p w14:paraId="5BE8AAE2" w14:textId="77777777" w:rsidR="009C6F8A" w:rsidRDefault="00727BBA">
      <w:r>
        <w:t>Iskazano povećanje se kod Grada odnosi na razne refundacije režijskih troškova , bolovanja od HZZO  i potraživanja za predujmove a kod DV Slavuj se odnosi na  potraživanje za refundacije bolovanja od HZZO. </w:t>
      </w:r>
    </w:p>
    <w:p w14:paraId="07F0918C" w14:textId="77777777" w:rsidR="009C6F8A" w:rsidRDefault="00727BBA">
      <w:r>
        <w:t>Kod konsolidacije je izvršena eliminacija na kontu 1294 Potraživanja od proračunskih korisnika za povrat u nadležni proračun u iznosu do 181,86 eura ( veza 27611) jer je Knjižnica Mihaela Šiloboda dva puta platila isti račun.</w:t>
      </w:r>
    </w:p>
    <w:p w14:paraId="330C5B7C" w14:textId="77777777" w:rsidR="009C6F8A" w:rsidRDefault="009C6F8A"/>
    <w:p w14:paraId="7C1E83A7" w14:textId="77777777" w:rsidR="009C6F8A" w:rsidRDefault="00727BBA">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82D3D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D952E"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40D4C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2F0884"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69B54"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61A43C"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E6468B" w14:textId="77777777" w:rsidR="009C6F8A" w:rsidRDefault="00727BBA">
            <w:pPr>
              <w:keepNext/>
              <w:keepLines/>
              <w:spacing w:after="0" w:line="240" w:lineRule="auto"/>
              <w:jc w:val="center"/>
            </w:pPr>
            <w:r>
              <w:rPr>
                <w:b/>
                <w:sz w:val="18"/>
              </w:rPr>
              <w:t>Indeks (%)</w:t>
            </w:r>
          </w:p>
        </w:tc>
      </w:tr>
      <w:tr w:rsidR="009C6F8A" w14:paraId="3DD0A803" w14:textId="77777777">
        <w:tblPrEx>
          <w:tblCellMar>
            <w:top w:w="0" w:type="dxa"/>
            <w:bottom w:w="0" w:type="dxa"/>
          </w:tblCellMar>
        </w:tblPrEx>
        <w:trPr>
          <w:cantSplit/>
          <w:trHeight w:val="560"/>
        </w:trPr>
        <w:tc>
          <w:tcPr>
            <w:tcW w:w="700" w:type="dxa"/>
            <w:tcMar>
              <w:top w:w="0" w:type="dxa"/>
              <w:bottom w:w="0" w:type="dxa"/>
            </w:tcMar>
            <w:vAlign w:val="center"/>
          </w:tcPr>
          <w:p w14:paraId="4AACA6FA" w14:textId="77777777" w:rsidR="009C6F8A" w:rsidRDefault="00727BBA">
            <w:pPr>
              <w:keepNext/>
              <w:keepLines/>
              <w:spacing w:after="0" w:line="240" w:lineRule="auto"/>
            </w:pPr>
            <w:r>
              <w:rPr>
                <w:sz w:val="18"/>
              </w:rPr>
              <w:t>1638</w:t>
            </w:r>
          </w:p>
        </w:tc>
        <w:tc>
          <w:tcPr>
            <w:tcW w:w="3180" w:type="dxa"/>
            <w:tcMar>
              <w:top w:w="0" w:type="dxa"/>
              <w:bottom w:w="0" w:type="dxa"/>
            </w:tcMar>
            <w:vAlign w:val="center"/>
          </w:tcPr>
          <w:p w14:paraId="5C8E996A" w14:textId="77777777" w:rsidR="009C6F8A" w:rsidRDefault="00727BBA">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65A0541E" w14:textId="77777777" w:rsidR="009C6F8A" w:rsidRDefault="00727BBA">
            <w:pPr>
              <w:keepNext/>
              <w:keepLines/>
              <w:spacing w:after="0" w:line="240" w:lineRule="auto"/>
            </w:pPr>
            <w:r>
              <w:rPr>
                <w:sz w:val="18"/>
              </w:rPr>
              <w:t>1638</w:t>
            </w:r>
          </w:p>
        </w:tc>
        <w:tc>
          <w:tcPr>
            <w:tcW w:w="1860" w:type="dxa"/>
            <w:tcMar>
              <w:top w:w="0" w:type="dxa"/>
              <w:bottom w:w="0" w:type="dxa"/>
            </w:tcMar>
            <w:vAlign w:val="center"/>
          </w:tcPr>
          <w:p w14:paraId="52C7F038" w14:textId="77777777" w:rsidR="009C6F8A" w:rsidRDefault="00727BBA">
            <w:pPr>
              <w:keepNext/>
              <w:keepLines/>
              <w:spacing w:after="0" w:line="240" w:lineRule="auto"/>
              <w:jc w:val="right"/>
            </w:pPr>
            <w:r>
              <w:rPr>
                <w:sz w:val="18"/>
              </w:rPr>
              <w:t>0,00</w:t>
            </w:r>
          </w:p>
        </w:tc>
        <w:tc>
          <w:tcPr>
            <w:tcW w:w="1860" w:type="dxa"/>
            <w:tcMar>
              <w:top w:w="0" w:type="dxa"/>
              <w:bottom w:w="0" w:type="dxa"/>
            </w:tcMar>
            <w:vAlign w:val="center"/>
          </w:tcPr>
          <w:p w14:paraId="5B576EB5" w14:textId="77777777" w:rsidR="009C6F8A" w:rsidRDefault="00727BBA">
            <w:pPr>
              <w:keepNext/>
              <w:keepLines/>
              <w:spacing w:after="0" w:line="240" w:lineRule="auto"/>
              <w:jc w:val="right"/>
            </w:pPr>
            <w:r>
              <w:rPr>
                <w:sz w:val="18"/>
              </w:rPr>
              <w:t>1.440.576,44</w:t>
            </w:r>
          </w:p>
        </w:tc>
        <w:tc>
          <w:tcPr>
            <w:tcW w:w="700" w:type="dxa"/>
            <w:tcMar>
              <w:top w:w="0" w:type="dxa"/>
              <w:bottom w:w="0" w:type="dxa"/>
            </w:tcMar>
            <w:vAlign w:val="center"/>
          </w:tcPr>
          <w:p w14:paraId="443EF1D7" w14:textId="77777777" w:rsidR="009C6F8A" w:rsidRDefault="00727BBA">
            <w:pPr>
              <w:keepNext/>
              <w:keepLines/>
              <w:spacing w:after="0" w:line="240" w:lineRule="auto"/>
              <w:jc w:val="right"/>
            </w:pPr>
            <w:r>
              <w:rPr>
                <w:sz w:val="18"/>
              </w:rPr>
              <w:t>-</w:t>
            </w:r>
          </w:p>
        </w:tc>
      </w:tr>
    </w:tbl>
    <w:p w14:paraId="08CA4BF1" w14:textId="77777777" w:rsidR="009C6F8A" w:rsidRDefault="009C6F8A">
      <w:pPr>
        <w:spacing w:after="0"/>
      </w:pPr>
    </w:p>
    <w:p w14:paraId="53D00FA7" w14:textId="77777777" w:rsidR="009C6F8A" w:rsidRDefault="00727BBA">
      <w:r>
        <w:t>Iskazano potraživanje se odnosi na Grad  i to po 8. ZNS za projekt cjelovite obnove dvorca Kerestinec. </w:t>
      </w:r>
    </w:p>
    <w:p w14:paraId="6FF54EDC" w14:textId="77777777" w:rsidR="009C6F8A" w:rsidRDefault="009C6F8A"/>
    <w:p w14:paraId="30DF3BEB" w14:textId="77777777" w:rsidR="009C6F8A" w:rsidRDefault="00727BBA">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463078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0A72B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E00091"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82A11B"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B47E5"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B21A25"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A1FB3F" w14:textId="77777777" w:rsidR="009C6F8A" w:rsidRDefault="00727BBA">
            <w:pPr>
              <w:keepNext/>
              <w:keepLines/>
              <w:spacing w:after="0" w:line="240" w:lineRule="auto"/>
              <w:jc w:val="center"/>
            </w:pPr>
            <w:r>
              <w:rPr>
                <w:b/>
                <w:sz w:val="18"/>
              </w:rPr>
              <w:t>Indeks (%)</w:t>
            </w:r>
          </w:p>
        </w:tc>
      </w:tr>
      <w:tr w:rsidR="009C6F8A" w14:paraId="2204DE7B" w14:textId="77777777">
        <w:tblPrEx>
          <w:tblCellMar>
            <w:top w:w="0" w:type="dxa"/>
            <w:bottom w:w="0" w:type="dxa"/>
          </w:tblCellMar>
        </w:tblPrEx>
        <w:trPr>
          <w:cantSplit/>
          <w:trHeight w:val="560"/>
        </w:trPr>
        <w:tc>
          <w:tcPr>
            <w:tcW w:w="700" w:type="dxa"/>
            <w:tcMar>
              <w:top w:w="0" w:type="dxa"/>
              <w:bottom w:w="0" w:type="dxa"/>
            </w:tcMar>
            <w:vAlign w:val="center"/>
          </w:tcPr>
          <w:p w14:paraId="4C9827CB" w14:textId="77777777" w:rsidR="009C6F8A" w:rsidRDefault="00727BBA">
            <w:pPr>
              <w:keepNext/>
              <w:keepLines/>
              <w:spacing w:after="0" w:line="240" w:lineRule="auto"/>
            </w:pPr>
            <w:r>
              <w:rPr>
                <w:sz w:val="18"/>
              </w:rPr>
              <w:t>167</w:t>
            </w:r>
          </w:p>
        </w:tc>
        <w:tc>
          <w:tcPr>
            <w:tcW w:w="3180" w:type="dxa"/>
            <w:tcMar>
              <w:top w:w="0" w:type="dxa"/>
              <w:bottom w:w="0" w:type="dxa"/>
            </w:tcMar>
            <w:vAlign w:val="center"/>
          </w:tcPr>
          <w:p w14:paraId="043B7B3B" w14:textId="77777777" w:rsidR="009C6F8A" w:rsidRDefault="00727BBA">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78F329CC" w14:textId="77777777" w:rsidR="009C6F8A" w:rsidRDefault="00727BBA">
            <w:pPr>
              <w:keepNext/>
              <w:keepLines/>
              <w:spacing w:after="0" w:line="240" w:lineRule="auto"/>
            </w:pPr>
            <w:r>
              <w:rPr>
                <w:sz w:val="18"/>
              </w:rPr>
              <w:t>167</w:t>
            </w:r>
          </w:p>
        </w:tc>
        <w:tc>
          <w:tcPr>
            <w:tcW w:w="1860" w:type="dxa"/>
            <w:tcMar>
              <w:top w:w="0" w:type="dxa"/>
              <w:bottom w:w="0" w:type="dxa"/>
            </w:tcMar>
            <w:vAlign w:val="center"/>
          </w:tcPr>
          <w:p w14:paraId="23976D20" w14:textId="77777777" w:rsidR="009C6F8A" w:rsidRDefault="00727BBA">
            <w:pPr>
              <w:keepNext/>
              <w:keepLines/>
              <w:spacing w:after="0" w:line="240" w:lineRule="auto"/>
              <w:jc w:val="right"/>
            </w:pPr>
            <w:r>
              <w:rPr>
                <w:sz w:val="18"/>
              </w:rPr>
              <w:t>0,00</w:t>
            </w:r>
          </w:p>
        </w:tc>
        <w:tc>
          <w:tcPr>
            <w:tcW w:w="1860" w:type="dxa"/>
            <w:tcMar>
              <w:top w:w="0" w:type="dxa"/>
              <w:bottom w:w="0" w:type="dxa"/>
            </w:tcMar>
            <w:vAlign w:val="center"/>
          </w:tcPr>
          <w:p w14:paraId="03421B67" w14:textId="77777777" w:rsidR="009C6F8A" w:rsidRDefault="00727BBA">
            <w:pPr>
              <w:keepNext/>
              <w:keepLines/>
              <w:spacing w:after="0" w:line="240" w:lineRule="auto"/>
              <w:jc w:val="right"/>
            </w:pPr>
            <w:r>
              <w:rPr>
                <w:sz w:val="18"/>
              </w:rPr>
              <w:t>0,00</w:t>
            </w:r>
          </w:p>
        </w:tc>
        <w:tc>
          <w:tcPr>
            <w:tcW w:w="700" w:type="dxa"/>
            <w:tcMar>
              <w:top w:w="0" w:type="dxa"/>
              <w:bottom w:w="0" w:type="dxa"/>
            </w:tcMar>
            <w:vAlign w:val="center"/>
          </w:tcPr>
          <w:p w14:paraId="1A21E96E" w14:textId="77777777" w:rsidR="009C6F8A" w:rsidRDefault="00727BBA">
            <w:pPr>
              <w:keepNext/>
              <w:keepLines/>
              <w:spacing w:after="0" w:line="240" w:lineRule="auto"/>
              <w:jc w:val="right"/>
            </w:pPr>
            <w:r>
              <w:rPr>
                <w:sz w:val="18"/>
              </w:rPr>
              <w:t>-</w:t>
            </w:r>
          </w:p>
        </w:tc>
      </w:tr>
    </w:tbl>
    <w:p w14:paraId="2FD7E409" w14:textId="77777777" w:rsidR="009C6F8A" w:rsidRDefault="009C6F8A">
      <w:pPr>
        <w:spacing w:after="0"/>
      </w:pPr>
    </w:p>
    <w:p w14:paraId="0853EE76" w14:textId="77777777" w:rsidR="009C6F8A" w:rsidRDefault="00727BBA">
      <w:r>
        <w:lastRenderedPageBreak/>
        <w:t>U postupku konsolidacije eliminiran je  iznos od 90.690,73 eura - (veza je 27 i 27411). Navedeni iznos se odnosi na  potraživanja za sredstva proračunskih korisnika uplaćenih u nadležni proračun.</w:t>
      </w:r>
    </w:p>
    <w:p w14:paraId="16EFD965" w14:textId="77777777" w:rsidR="009C6F8A" w:rsidRDefault="009C6F8A"/>
    <w:p w14:paraId="0A73B7D5" w14:textId="77777777" w:rsidR="009C6F8A" w:rsidRDefault="00727BBA">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D18A4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602C71"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95982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B1DB5"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F872B" w14:textId="77777777" w:rsidR="009C6F8A" w:rsidRDefault="00727BB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E12B01" w14:textId="77777777" w:rsidR="009C6F8A" w:rsidRDefault="00727BB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3B898D" w14:textId="77777777" w:rsidR="009C6F8A" w:rsidRDefault="00727BBA">
            <w:pPr>
              <w:keepNext/>
              <w:keepLines/>
              <w:spacing w:after="0" w:line="240" w:lineRule="auto"/>
              <w:jc w:val="center"/>
            </w:pPr>
            <w:r>
              <w:rPr>
                <w:b/>
                <w:sz w:val="18"/>
              </w:rPr>
              <w:t>Indeks (%)</w:t>
            </w:r>
          </w:p>
        </w:tc>
      </w:tr>
      <w:tr w:rsidR="009C6F8A" w14:paraId="6AAAF8F5" w14:textId="77777777">
        <w:tblPrEx>
          <w:tblCellMar>
            <w:top w:w="0" w:type="dxa"/>
            <w:bottom w:w="0" w:type="dxa"/>
          </w:tblCellMar>
        </w:tblPrEx>
        <w:trPr>
          <w:cantSplit/>
          <w:trHeight w:val="560"/>
        </w:trPr>
        <w:tc>
          <w:tcPr>
            <w:tcW w:w="700" w:type="dxa"/>
            <w:tcMar>
              <w:top w:w="0" w:type="dxa"/>
              <w:bottom w:w="0" w:type="dxa"/>
            </w:tcMar>
            <w:vAlign w:val="center"/>
          </w:tcPr>
          <w:p w14:paraId="657C664C" w14:textId="77777777" w:rsidR="009C6F8A" w:rsidRDefault="00727BBA">
            <w:pPr>
              <w:keepNext/>
              <w:keepLines/>
              <w:spacing w:after="0" w:line="240" w:lineRule="auto"/>
            </w:pPr>
            <w:r>
              <w:rPr>
                <w:sz w:val="18"/>
              </w:rPr>
              <w:t>27</w:t>
            </w:r>
          </w:p>
        </w:tc>
        <w:tc>
          <w:tcPr>
            <w:tcW w:w="3180" w:type="dxa"/>
            <w:tcMar>
              <w:top w:w="0" w:type="dxa"/>
              <w:bottom w:w="0" w:type="dxa"/>
            </w:tcMar>
            <w:vAlign w:val="center"/>
          </w:tcPr>
          <w:p w14:paraId="706D6D03" w14:textId="77777777" w:rsidR="009C6F8A" w:rsidRDefault="00727BBA">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0FC1283" w14:textId="77777777" w:rsidR="009C6F8A" w:rsidRDefault="00727BBA">
            <w:pPr>
              <w:keepNext/>
              <w:keepLines/>
              <w:spacing w:after="0" w:line="240" w:lineRule="auto"/>
            </w:pPr>
            <w:r>
              <w:rPr>
                <w:sz w:val="18"/>
              </w:rPr>
              <w:t>27</w:t>
            </w:r>
          </w:p>
        </w:tc>
        <w:tc>
          <w:tcPr>
            <w:tcW w:w="1860" w:type="dxa"/>
            <w:tcMar>
              <w:top w:w="0" w:type="dxa"/>
              <w:bottom w:w="0" w:type="dxa"/>
            </w:tcMar>
            <w:vAlign w:val="center"/>
          </w:tcPr>
          <w:p w14:paraId="515F0055" w14:textId="77777777" w:rsidR="009C6F8A" w:rsidRDefault="00727BBA">
            <w:pPr>
              <w:keepNext/>
              <w:keepLines/>
              <w:spacing w:after="0" w:line="240" w:lineRule="auto"/>
              <w:jc w:val="right"/>
            </w:pPr>
            <w:r>
              <w:rPr>
                <w:sz w:val="18"/>
              </w:rPr>
              <w:t>403.421,08</w:t>
            </w:r>
          </w:p>
        </w:tc>
        <w:tc>
          <w:tcPr>
            <w:tcW w:w="1860" w:type="dxa"/>
            <w:tcMar>
              <w:top w:w="0" w:type="dxa"/>
              <w:bottom w:w="0" w:type="dxa"/>
            </w:tcMar>
            <w:vAlign w:val="center"/>
          </w:tcPr>
          <w:p w14:paraId="449CA76D" w14:textId="77777777" w:rsidR="009C6F8A" w:rsidRDefault="00727BBA">
            <w:pPr>
              <w:keepNext/>
              <w:keepLines/>
              <w:spacing w:after="0" w:line="240" w:lineRule="auto"/>
              <w:jc w:val="right"/>
            </w:pPr>
            <w:r>
              <w:rPr>
                <w:sz w:val="18"/>
              </w:rPr>
              <w:t>837.015,36</w:t>
            </w:r>
          </w:p>
        </w:tc>
        <w:tc>
          <w:tcPr>
            <w:tcW w:w="700" w:type="dxa"/>
            <w:tcMar>
              <w:top w:w="0" w:type="dxa"/>
              <w:bottom w:w="0" w:type="dxa"/>
            </w:tcMar>
            <w:vAlign w:val="center"/>
          </w:tcPr>
          <w:p w14:paraId="48CFE5AD" w14:textId="77777777" w:rsidR="009C6F8A" w:rsidRDefault="00727BBA">
            <w:pPr>
              <w:keepNext/>
              <w:keepLines/>
              <w:spacing w:after="0" w:line="240" w:lineRule="auto"/>
              <w:jc w:val="right"/>
            </w:pPr>
            <w:r>
              <w:rPr>
                <w:sz w:val="18"/>
              </w:rPr>
              <w:t>207,5</w:t>
            </w:r>
          </w:p>
        </w:tc>
      </w:tr>
    </w:tbl>
    <w:p w14:paraId="3C1DCA69" w14:textId="77777777" w:rsidR="009C6F8A" w:rsidRDefault="009C6F8A">
      <w:pPr>
        <w:spacing w:after="0"/>
      </w:pPr>
    </w:p>
    <w:p w14:paraId="5DEAFE33" w14:textId="77777777" w:rsidR="009C6F8A" w:rsidRDefault="00727BBA">
      <w:r>
        <w:t xml:space="preserve">U postupku konsolidacije eliminirane su </w:t>
      </w:r>
      <w:proofErr w:type="spellStart"/>
      <w:r>
        <w:t>unutargrupne</w:t>
      </w:r>
      <w:proofErr w:type="spellEnd"/>
      <w:r>
        <w:t xml:space="preserve"> transakcije u ukupnom iznosu od 90.872,59 eura. Od toga se iznos od  90.690,73 eura odnosi na obveze proračuna za naplaćene prihode proračunskih korisnika, a iznos od 181,86 eura na obvezu proračunskog korisnika za povrat u nadležni proračun.</w:t>
      </w:r>
    </w:p>
    <w:p w14:paraId="1B26E57D" w14:textId="77777777" w:rsidR="009C6F8A" w:rsidRDefault="009C6F8A"/>
    <w:p w14:paraId="3E3EA2A9" w14:textId="77777777" w:rsidR="009C6F8A" w:rsidRDefault="00727BBA">
      <w:pPr>
        <w:keepNext/>
        <w:spacing w:line="240" w:lineRule="auto"/>
        <w:jc w:val="center"/>
      </w:pPr>
      <w:r>
        <w:rPr>
          <w:b/>
          <w:sz w:val="28"/>
        </w:rPr>
        <w:t>Promjene u vrijednosti i obujmu imovine i obveza</w:t>
      </w:r>
    </w:p>
    <w:p w14:paraId="03F2F45B" w14:textId="77777777" w:rsidR="009C6F8A" w:rsidRDefault="00727BBA">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02AD10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94FB10"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704A89"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84CAD"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259B2" w14:textId="77777777" w:rsidR="009C6F8A" w:rsidRDefault="00727BB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C7DB20" w14:textId="77777777" w:rsidR="009C6F8A" w:rsidRDefault="00727BB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E2E562E" w14:textId="77777777" w:rsidR="009C6F8A" w:rsidRDefault="00727BBA">
            <w:pPr>
              <w:keepNext/>
              <w:keepLines/>
              <w:spacing w:after="0" w:line="240" w:lineRule="auto"/>
              <w:jc w:val="center"/>
            </w:pPr>
            <w:r>
              <w:rPr>
                <w:b/>
                <w:sz w:val="18"/>
              </w:rPr>
              <w:t>Indeks (%)</w:t>
            </w:r>
          </w:p>
        </w:tc>
      </w:tr>
      <w:tr w:rsidR="009C6F8A" w14:paraId="21F12250" w14:textId="77777777">
        <w:tblPrEx>
          <w:tblCellMar>
            <w:top w:w="0" w:type="dxa"/>
            <w:bottom w:w="0" w:type="dxa"/>
          </w:tblCellMar>
        </w:tblPrEx>
        <w:trPr>
          <w:cantSplit/>
          <w:trHeight w:val="560"/>
        </w:trPr>
        <w:tc>
          <w:tcPr>
            <w:tcW w:w="700" w:type="dxa"/>
            <w:tcMar>
              <w:top w:w="0" w:type="dxa"/>
              <w:bottom w:w="0" w:type="dxa"/>
            </w:tcMar>
            <w:vAlign w:val="center"/>
          </w:tcPr>
          <w:p w14:paraId="4466BC1B" w14:textId="77777777" w:rsidR="009C6F8A" w:rsidRDefault="009C6F8A">
            <w:pPr>
              <w:keepNext/>
              <w:keepLines/>
              <w:spacing w:after="0" w:line="240" w:lineRule="auto"/>
            </w:pPr>
          </w:p>
        </w:tc>
        <w:tc>
          <w:tcPr>
            <w:tcW w:w="3180" w:type="dxa"/>
            <w:tcMar>
              <w:top w:w="0" w:type="dxa"/>
              <w:bottom w:w="0" w:type="dxa"/>
            </w:tcMar>
            <w:vAlign w:val="center"/>
          </w:tcPr>
          <w:p w14:paraId="344B352C" w14:textId="77777777" w:rsidR="009C6F8A" w:rsidRDefault="00727BBA">
            <w:pPr>
              <w:keepNext/>
              <w:keepLines/>
              <w:spacing w:after="0" w:line="240" w:lineRule="auto"/>
            </w:pPr>
            <w:r>
              <w:rPr>
                <w:sz w:val="18"/>
              </w:rPr>
              <w:t>Proizvedena dugotrajna imovina</w:t>
            </w:r>
          </w:p>
        </w:tc>
        <w:tc>
          <w:tcPr>
            <w:tcW w:w="700" w:type="dxa"/>
            <w:tcMar>
              <w:top w:w="0" w:type="dxa"/>
              <w:bottom w:w="0" w:type="dxa"/>
            </w:tcMar>
            <w:vAlign w:val="center"/>
          </w:tcPr>
          <w:p w14:paraId="4443AFE7" w14:textId="77777777" w:rsidR="009C6F8A" w:rsidRDefault="00727BBA">
            <w:pPr>
              <w:keepNext/>
              <w:keepLines/>
              <w:spacing w:after="0" w:line="240" w:lineRule="auto"/>
            </w:pPr>
            <w:r>
              <w:rPr>
                <w:sz w:val="18"/>
              </w:rPr>
              <w:t>P003</w:t>
            </w:r>
          </w:p>
        </w:tc>
        <w:tc>
          <w:tcPr>
            <w:tcW w:w="1860" w:type="dxa"/>
            <w:tcMar>
              <w:top w:w="0" w:type="dxa"/>
              <w:bottom w:w="0" w:type="dxa"/>
            </w:tcMar>
            <w:vAlign w:val="center"/>
          </w:tcPr>
          <w:p w14:paraId="73BFFF5D" w14:textId="77777777" w:rsidR="009C6F8A" w:rsidRDefault="00727BBA">
            <w:pPr>
              <w:keepNext/>
              <w:keepLines/>
              <w:spacing w:after="0" w:line="240" w:lineRule="auto"/>
              <w:jc w:val="right"/>
            </w:pPr>
            <w:r>
              <w:rPr>
                <w:sz w:val="18"/>
              </w:rPr>
              <w:t>0,00</w:t>
            </w:r>
          </w:p>
        </w:tc>
        <w:tc>
          <w:tcPr>
            <w:tcW w:w="1860" w:type="dxa"/>
            <w:tcMar>
              <w:top w:w="0" w:type="dxa"/>
              <w:bottom w:w="0" w:type="dxa"/>
            </w:tcMar>
            <w:vAlign w:val="center"/>
          </w:tcPr>
          <w:p w14:paraId="27B499CF" w14:textId="77777777" w:rsidR="009C6F8A" w:rsidRDefault="00727BBA">
            <w:pPr>
              <w:keepNext/>
              <w:keepLines/>
              <w:spacing w:after="0" w:line="240" w:lineRule="auto"/>
              <w:jc w:val="right"/>
            </w:pPr>
            <w:r>
              <w:rPr>
                <w:sz w:val="18"/>
              </w:rPr>
              <w:t>2.766.746,19</w:t>
            </w:r>
          </w:p>
        </w:tc>
        <w:tc>
          <w:tcPr>
            <w:tcW w:w="700" w:type="dxa"/>
            <w:tcMar>
              <w:top w:w="0" w:type="dxa"/>
              <w:bottom w:w="0" w:type="dxa"/>
            </w:tcMar>
            <w:vAlign w:val="center"/>
          </w:tcPr>
          <w:p w14:paraId="567D59F6" w14:textId="77777777" w:rsidR="009C6F8A" w:rsidRDefault="00727BBA">
            <w:pPr>
              <w:keepNext/>
              <w:keepLines/>
              <w:spacing w:after="0" w:line="240" w:lineRule="auto"/>
              <w:jc w:val="right"/>
            </w:pPr>
            <w:r>
              <w:rPr>
                <w:sz w:val="18"/>
              </w:rPr>
              <w:t>-</w:t>
            </w:r>
          </w:p>
        </w:tc>
      </w:tr>
    </w:tbl>
    <w:p w14:paraId="3ABE18C6" w14:textId="77777777" w:rsidR="009C6F8A" w:rsidRDefault="009C6F8A">
      <w:pPr>
        <w:spacing w:after="0"/>
      </w:pPr>
    </w:p>
    <w:p w14:paraId="29C9493C" w14:textId="77777777" w:rsidR="009C6F8A" w:rsidRDefault="00727BBA">
      <w:r>
        <w:t>Smanjenje u vrijednosti proizvedene dugotrajne imovine  odnosi se na godišnji  ispravak vrijednosti proizvedene dugotrajne imovine kod Grada i DV Slavuj.</w:t>
      </w:r>
    </w:p>
    <w:p w14:paraId="2A0B4C74" w14:textId="77777777" w:rsidR="009C6F8A" w:rsidRDefault="009C6F8A"/>
    <w:p w14:paraId="0E80C6D3" w14:textId="77777777" w:rsidR="009C6F8A" w:rsidRDefault="00727BBA">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58A2AA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58477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BAB6FD"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ACD12"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9F81D" w14:textId="77777777" w:rsidR="009C6F8A" w:rsidRDefault="00727BB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6062CD" w14:textId="77777777" w:rsidR="009C6F8A" w:rsidRDefault="00727BB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5BB2C62" w14:textId="77777777" w:rsidR="009C6F8A" w:rsidRDefault="00727BBA">
            <w:pPr>
              <w:keepNext/>
              <w:keepLines/>
              <w:spacing w:after="0" w:line="240" w:lineRule="auto"/>
              <w:jc w:val="center"/>
            </w:pPr>
            <w:r>
              <w:rPr>
                <w:b/>
                <w:sz w:val="18"/>
              </w:rPr>
              <w:t>Indeks (%)</w:t>
            </w:r>
          </w:p>
        </w:tc>
      </w:tr>
      <w:tr w:rsidR="009C6F8A" w14:paraId="0CF2DFE8" w14:textId="77777777">
        <w:tblPrEx>
          <w:tblCellMar>
            <w:top w:w="0" w:type="dxa"/>
            <w:bottom w:w="0" w:type="dxa"/>
          </w:tblCellMar>
        </w:tblPrEx>
        <w:trPr>
          <w:cantSplit/>
          <w:trHeight w:val="560"/>
        </w:trPr>
        <w:tc>
          <w:tcPr>
            <w:tcW w:w="700" w:type="dxa"/>
            <w:tcMar>
              <w:top w:w="0" w:type="dxa"/>
              <w:bottom w:w="0" w:type="dxa"/>
            </w:tcMar>
            <w:vAlign w:val="center"/>
          </w:tcPr>
          <w:p w14:paraId="7377D193" w14:textId="77777777" w:rsidR="009C6F8A" w:rsidRDefault="009C6F8A">
            <w:pPr>
              <w:keepNext/>
              <w:keepLines/>
              <w:spacing w:after="0" w:line="240" w:lineRule="auto"/>
            </w:pPr>
          </w:p>
        </w:tc>
        <w:tc>
          <w:tcPr>
            <w:tcW w:w="3180" w:type="dxa"/>
            <w:tcMar>
              <w:top w:w="0" w:type="dxa"/>
              <w:bottom w:w="0" w:type="dxa"/>
            </w:tcMar>
            <w:vAlign w:val="center"/>
          </w:tcPr>
          <w:p w14:paraId="56AFE95D" w14:textId="77777777" w:rsidR="009C6F8A" w:rsidRDefault="00727BBA">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35988375" w14:textId="77777777" w:rsidR="009C6F8A" w:rsidRDefault="00727BBA">
            <w:pPr>
              <w:keepNext/>
              <w:keepLines/>
              <w:spacing w:after="0" w:line="240" w:lineRule="auto"/>
            </w:pPr>
            <w:r>
              <w:rPr>
                <w:sz w:val="18"/>
              </w:rPr>
              <w:t>P017</w:t>
            </w:r>
          </w:p>
        </w:tc>
        <w:tc>
          <w:tcPr>
            <w:tcW w:w="1860" w:type="dxa"/>
            <w:tcMar>
              <w:top w:w="0" w:type="dxa"/>
              <w:bottom w:w="0" w:type="dxa"/>
            </w:tcMar>
            <w:vAlign w:val="center"/>
          </w:tcPr>
          <w:p w14:paraId="36F7DDD8" w14:textId="77777777" w:rsidR="009C6F8A" w:rsidRDefault="00727BBA">
            <w:pPr>
              <w:keepNext/>
              <w:keepLines/>
              <w:spacing w:after="0" w:line="240" w:lineRule="auto"/>
              <w:jc w:val="right"/>
            </w:pPr>
            <w:r>
              <w:rPr>
                <w:sz w:val="18"/>
              </w:rPr>
              <w:t>3.981,00</w:t>
            </w:r>
          </w:p>
        </w:tc>
        <w:tc>
          <w:tcPr>
            <w:tcW w:w="1860" w:type="dxa"/>
            <w:tcMar>
              <w:top w:w="0" w:type="dxa"/>
              <w:bottom w:w="0" w:type="dxa"/>
            </w:tcMar>
            <w:vAlign w:val="center"/>
          </w:tcPr>
          <w:p w14:paraId="5E06861A" w14:textId="77777777" w:rsidR="009C6F8A" w:rsidRDefault="00727BBA">
            <w:pPr>
              <w:keepNext/>
              <w:keepLines/>
              <w:spacing w:after="0" w:line="240" w:lineRule="auto"/>
              <w:jc w:val="right"/>
            </w:pPr>
            <w:r>
              <w:rPr>
                <w:sz w:val="18"/>
              </w:rPr>
              <w:t>93.072,95</w:t>
            </w:r>
          </w:p>
        </w:tc>
        <w:tc>
          <w:tcPr>
            <w:tcW w:w="700" w:type="dxa"/>
            <w:tcMar>
              <w:top w:w="0" w:type="dxa"/>
              <w:bottom w:w="0" w:type="dxa"/>
            </w:tcMar>
            <w:vAlign w:val="center"/>
          </w:tcPr>
          <w:p w14:paraId="3B537D18" w14:textId="77777777" w:rsidR="009C6F8A" w:rsidRDefault="00727BBA">
            <w:pPr>
              <w:keepNext/>
              <w:keepLines/>
              <w:spacing w:after="0" w:line="240" w:lineRule="auto"/>
              <w:jc w:val="right"/>
            </w:pPr>
            <w:r>
              <w:rPr>
                <w:sz w:val="18"/>
              </w:rPr>
              <w:t>2337,9</w:t>
            </w:r>
          </w:p>
        </w:tc>
      </w:tr>
    </w:tbl>
    <w:p w14:paraId="5C84871E" w14:textId="77777777" w:rsidR="009C6F8A" w:rsidRDefault="009C6F8A">
      <w:pPr>
        <w:spacing w:after="0"/>
      </w:pPr>
    </w:p>
    <w:p w14:paraId="634080CF" w14:textId="77777777" w:rsidR="009C6F8A" w:rsidRDefault="00727BBA">
      <w:r>
        <w:t>Prikazano povećanje se odnosi na evidentiranje  zemljišta koje  Grad u  svojim poslovnim knjigama nije imao. Prikazano smanjenje  se odnosi na gubitak prava vlasništva nad jednim zemljištem Rješenjem suda, prijenos prava vlasništva nad jednom česticom Hrvatskim vodama te zbog  reklasifikacije imovine tj. zemljišta  na objekt DV Slavuj ( objekt sa dvorištem). Proračunski korisnici nisu imali promjena.</w:t>
      </w:r>
    </w:p>
    <w:p w14:paraId="3C9A6927" w14:textId="77777777" w:rsidR="009C6F8A" w:rsidRDefault="009C6F8A"/>
    <w:p w14:paraId="0AC0E2D9" w14:textId="77777777" w:rsidR="009C6F8A" w:rsidRDefault="00727BBA">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4C828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CB64F8"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D322C"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A7EAE"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CA91A2" w14:textId="77777777" w:rsidR="009C6F8A" w:rsidRDefault="00727BB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41C513" w14:textId="77777777" w:rsidR="009C6F8A" w:rsidRDefault="00727BB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A323FD9" w14:textId="77777777" w:rsidR="009C6F8A" w:rsidRDefault="00727BBA">
            <w:pPr>
              <w:keepNext/>
              <w:keepLines/>
              <w:spacing w:after="0" w:line="240" w:lineRule="auto"/>
              <w:jc w:val="center"/>
            </w:pPr>
            <w:r>
              <w:rPr>
                <w:b/>
                <w:sz w:val="18"/>
              </w:rPr>
              <w:t>Indeks (%)</w:t>
            </w:r>
          </w:p>
        </w:tc>
      </w:tr>
      <w:tr w:rsidR="009C6F8A" w14:paraId="31D14C4F" w14:textId="77777777">
        <w:tblPrEx>
          <w:tblCellMar>
            <w:top w:w="0" w:type="dxa"/>
            <w:bottom w:w="0" w:type="dxa"/>
          </w:tblCellMar>
        </w:tblPrEx>
        <w:trPr>
          <w:cantSplit/>
          <w:trHeight w:val="560"/>
        </w:trPr>
        <w:tc>
          <w:tcPr>
            <w:tcW w:w="700" w:type="dxa"/>
            <w:tcMar>
              <w:top w:w="0" w:type="dxa"/>
              <w:bottom w:w="0" w:type="dxa"/>
            </w:tcMar>
            <w:vAlign w:val="center"/>
          </w:tcPr>
          <w:p w14:paraId="6DC380BD" w14:textId="77777777" w:rsidR="009C6F8A" w:rsidRDefault="009C6F8A">
            <w:pPr>
              <w:keepNext/>
              <w:keepLines/>
              <w:spacing w:after="0" w:line="240" w:lineRule="auto"/>
            </w:pPr>
          </w:p>
        </w:tc>
        <w:tc>
          <w:tcPr>
            <w:tcW w:w="3180" w:type="dxa"/>
            <w:tcMar>
              <w:top w:w="0" w:type="dxa"/>
              <w:bottom w:w="0" w:type="dxa"/>
            </w:tcMar>
            <w:vAlign w:val="center"/>
          </w:tcPr>
          <w:p w14:paraId="002EB3C5" w14:textId="77777777" w:rsidR="009C6F8A" w:rsidRDefault="00727BBA">
            <w:pPr>
              <w:keepNext/>
              <w:keepLines/>
              <w:spacing w:after="0" w:line="240" w:lineRule="auto"/>
            </w:pPr>
            <w:r>
              <w:rPr>
                <w:sz w:val="18"/>
              </w:rPr>
              <w:t>Proizvedena dugotrajna imovina</w:t>
            </w:r>
          </w:p>
        </w:tc>
        <w:tc>
          <w:tcPr>
            <w:tcW w:w="700" w:type="dxa"/>
            <w:tcMar>
              <w:top w:w="0" w:type="dxa"/>
              <w:bottom w:w="0" w:type="dxa"/>
            </w:tcMar>
            <w:vAlign w:val="center"/>
          </w:tcPr>
          <w:p w14:paraId="1AB34FA1" w14:textId="77777777" w:rsidR="009C6F8A" w:rsidRDefault="00727BBA">
            <w:pPr>
              <w:keepNext/>
              <w:keepLines/>
              <w:spacing w:after="0" w:line="240" w:lineRule="auto"/>
            </w:pPr>
            <w:r>
              <w:rPr>
                <w:sz w:val="18"/>
              </w:rPr>
              <w:t>P018</w:t>
            </w:r>
          </w:p>
        </w:tc>
        <w:tc>
          <w:tcPr>
            <w:tcW w:w="1860" w:type="dxa"/>
            <w:tcMar>
              <w:top w:w="0" w:type="dxa"/>
              <w:bottom w:w="0" w:type="dxa"/>
            </w:tcMar>
            <w:vAlign w:val="center"/>
          </w:tcPr>
          <w:p w14:paraId="6C029CC4" w14:textId="77777777" w:rsidR="009C6F8A" w:rsidRDefault="00727BBA">
            <w:pPr>
              <w:keepNext/>
              <w:keepLines/>
              <w:spacing w:after="0" w:line="240" w:lineRule="auto"/>
              <w:jc w:val="right"/>
            </w:pPr>
            <w:r>
              <w:rPr>
                <w:sz w:val="18"/>
              </w:rPr>
              <w:t>64.883,31</w:t>
            </w:r>
          </w:p>
        </w:tc>
        <w:tc>
          <w:tcPr>
            <w:tcW w:w="1860" w:type="dxa"/>
            <w:tcMar>
              <w:top w:w="0" w:type="dxa"/>
              <w:bottom w:w="0" w:type="dxa"/>
            </w:tcMar>
            <w:vAlign w:val="center"/>
          </w:tcPr>
          <w:p w14:paraId="3B450C28" w14:textId="77777777" w:rsidR="009C6F8A" w:rsidRDefault="00727BBA">
            <w:pPr>
              <w:keepNext/>
              <w:keepLines/>
              <w:spacing w:after="0" w:line="240" w:lineRule="auto"/>
              <w:jc w:val="right"/>
            </w:pPr>
            <w:r>
              <w:rPr>
                <w:sz w:val="18"/>
              </w:rPr>
              <w:t>8.990,00</w:t>
            </w:r>
          </w:p>
        </w:tc>
        <w:tc>
          <w:tcPr>
            <w:tcW w:w="700" w:type="dxa"/>
            <w:tcMar>
              <w:top w:w="0" w:type="dxa"/>
              <w:bottom w:w="0" w:type="dxa"/>
            </w:tcMar>
            <w:vAlign w:val="center"/>
          </w:tcPr>
          <w:p w14:paraId="62F0253C" w14:textId="77777777" w:rsidR="009C6F8A" w:rsidRDefault="00727BBA">
            <w:pPr>
              <w:keepNext/>
              <w:keepLines/>
              <w:spacing w:after="0" w:line="240" w:lineRule="auto"/>
              <w:jc w:val="right"/>
            </w:pPr>
            <w:r>
              <w:rPr>
                <w:sz w:val="18"/>
              </w:rPr>
              <w:t>13,9</w:t>
            </w:r>
          </w:p>
        </w:tc>
      </w:tr>
    </w:tbl>
    <w:p w14:paraId="4569408D" w14:textId="77777777" w:rsidR="009C6F8A" w:rsidRDefault="009C6F8A">
      <w:pPr>
        <w:spacing w:after="0"/>
      </w:pPr>
    </w:p>
    <w:p w14:paraId="71DE307E" w14:textId="77777777" w:rsidR="009C6F8A" w:rsidRDefault="00727BBA">
      <w:r>
        <w:t xml:space="preserve">Iznos povećanja odnosi se kod Grada na  reklasifikaciju imovine nastale zbog spajanja zemljišta sa objektom DV Slavuj u Novakima .  Iskazano smanjenje  odnosi se na darovanje opreme za djecu s poteškoćama </w:t>
      </w:r>
      <w:proofErr w:type="spellStart"/>
      <w:r>
        <w:t>vrticu</w:t>
      </w:r>
      <w:proofErr w:type="spellEnd"/>
      <w:r>
        <w:t>. DV Slavuj je iskazao smanjenje za prijenos objekta DV Slavuj u Novakima Gradu  a Grad je iskazao povećanje što je u konsolidaciji u ovom izvještaju eliminirano.</w:t>
      </w:r>
    </w:p>
    <w:p w14:paraId="73F758B7" w14:textId="77777777" w:rsidR="009C6F8A" w:rsidRDefault="009C6F8A"/>
    <w:p w14:paraId="731369ED" w14:textId="77777777" w:rsidR="009C6F8A" w:rsidRDefault="00727BBA">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C6F8A" w14:paraId="6EE37C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39645"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38A192"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9B22F9"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9887D" w14:textId="77777777" w:rsidR="009C6F8A" w:rsidRDefault="00727BB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816220A" w14:textId="77777777" w:rsidR="009C6F8A" w:rsidRDefault="00727BB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24B292" w14:textId="77777777" w:rsidR="009C6F8A" w:rsidRDefault="00727BBA">
            <w:pPr>
              <w:keepNext/>
              <w:keepLines/>
              <w:spacing w:after="0" w:line="240" w:lineRule="auto"/>
              <w:jc w:val="center"/>
            </w:pPr>
            <w:r>
              <w:rPr>
                <w:b/>
                <w:sz w:val="18"/>
              </w:rPr>
              <w:t>Indeks (%)</w:t>
            </w:r>
          </w:p>
        </w:tc>
      </w:tr>
      <w:tr w:rsidR="009C6F8A" w14:paraId="10AA38DC" w14:textId="77777777">
        <w:tblPrEx>
          <w:tblCellMar>
            <w:top w:w="0" w:type="dxa"/>
            <w:bottom w:w="0" w:type="dxa"/>
          </w:tblCellMar>
        </w:tblPrEx>
        <w:trPr>
          <w:cantSplit/>
          <w:trHeight w:val="560"/>
        </w:trPr>
        <w:tc>
          <w:tcPr>
            <w:tcW w:w="700" w:type="dxa"/>
            <w:tcMar>
              <w:top w:w="0" w:type="dxa"/>
              <w:bottom w:w="0" w:type="dxa"/>
            </w:tcMar>
            <w:vAlign w:val="center"/>
          </w:tcPr>
          <w:p w14:paraId="281FD531" w14:textId="77777777" w:rsidR="009C6F8A" w:rsidRDefault="009C6F8A">
            <w:pPr>
              <w:keepNext/>
              <w:keepLines/>
              <w:spacing w:after="0" w:line="240" w:lineRule="auto"/>
            </w:pPr>
          </w:p>
        </w:tc>
        <w:tc>
          <w:tcPr>
            <w:tcW w:w="3180" w:type="dxa"/>
            <w:tcMar>
              <w:top w:w="0" w:type="dxa"/>
              <w:bottom w:w="0" w:type="dxa"/>
            </w:tcMar>
            <w:vAlign w:val="center"/>
          </w:tcPr>
          <w:p w14:paraId="6842829A" w14:textId="77777777" w:rsidR="009C6F8A" w:rsidRDefault="00727BBA">
            <w:pPr>
              <w:keepNext/>
              <w:keepLines/>
              <w:spacing w:after="0" w:line="240" w:lineRule="auto"/>
            </w:pPr>
            <w:r>
              <w:rPr>
                <w:sz w:val="18"/>
              </w:rPr>
              <w:t>Potraživanja za prihode poslovanja</w:t>
            </w:r>
          </w:p>
        </w:tc>
        <w:tc>
          <w:tcPr>
            <w:tcW w:w="700" w:type="dxa"/>
            <w:tcMar>
              <w:top w:w="0" w:type="dxa"/>
              <w:bottom w:w="0" w:type="dxa"/>
            </w:tcMar>
            <w:vAlign w:val="center"/>
          </w:tcPr>
          <w:p w14:paraId="5A994AED" w14:textId="77777777" w:rsidR="009C6F8A" w:rsidRDefault="00727BBA">
            <w:pPr>
              <w:keepNext/>
              <w:keepLines/>
              <w:spacing w:after="0" w:line="240" w:lineRule="auto"/>
            </w:pPr>
            <w:r>
              <w:rPr>
                <w:sz w:val="18"/>
              </w:rPr>
              <w:t>P029</w:t>
            </w:r>
          </w:p>
        </w:tc>
        <w:tc>
          <w:tcPr>
            <w:tcW w:w="1860" w:type="dxa"/>
            <w:tcMar>
              <w:top w:w="0" w:type="dxa"/>
              <w:bottom w:w="0" w:type="dxa"/>
            </w:tcMar>
            <w:vAlign w:val="center"/>
          </w:tcPr>
          <w:p w14:paraId="45DC3F0A" w14:textId="77777777" w:rsidR="009C6F8A" w:rsidRDefault="00727BBA">
            <w:pPr>
              <w:keepNext/>
              <w:keepLines/>
              <w:spacing w:after="0" w:line="240" w:lineRule="auto"/>
              <w:jc w:val="right"/>
            </w:pPr>
            <w:r>
              <w:rPr>
                <w:sz w:val="18"/>
              </w:rPr>
              <w:t>0,00</w:t>
            </w:r>
          </w:p>
        </w:tc>
        <w:tc>
          <w:tcPr>
            <w:tcW w:w="1860" w:type="dxa"/>
            <w:tcMar>
              <w:top w:w="0" w:type="dxa"/>
              <w:bottom w:w="0" w:type="dxa"/>
            </w:tcMar>
            <w:vAlign w:val="center"/>
          </w:tcPr>
          <w:p w14:paraId="2D6B2D6A" w14:textId="77777777" w:rsidR="009C6F8A" w:rsidRDefault="00727BBA">
            <w:pPr>
              <w:keepNext/>
              <w:keepLines/>
              <w:spacing w:after="0" w:line="240" w:lineRule="auto"/>
              <w:jc w:val="right"/>
            </w:pPr>
            <w:r>
              <w:rPr>
                <w:sz w:val="18"/>
              </w:rPr>
              <w:t>4.272,34</w:t>
            </w:r>
          </w:p>
        </w:tc>
        <w:tc>
          <w:tcPr>
            <w:tcW w:w="700" w:type="dxa"/>
            <w:tcMar>
              <w:top w:w="0" w:type="dxa"/>
              <w:bottom w:w="0" w:type="dxa"/>
            </w:tcMar>
            <w:vAlign w:val="center"/>
          </w:tcPr>
          <w:p w14:paraId="03B9F9A1" w14:textId="77777777" w:rsidR="009C6F8A" w:rsidRDefault="00727BBA">
            <w:pPr>
              <w:keepNext/>
              <w:keepLines/>
              <w:spacing w:after="0" w:line="240" w:lineRule="auto"/>
              <w:jc w:val="right"/>
            </w:pPr>
            <w:r>
              <w:rPr>
                <w:sz w:val="18"/>
              </w:rPr>
              <w:t>-</w:t>
            </w:r>
          </w:p>
        </w:tc>
      </w:tr>
    </w:tbl>
    <w:p w14:paraId="6D53F934" w14:textId="77777777" w:rsidR="009C6F8A" w:rsidRDefault="009C6F8A">
      <w:pPr>
        <w:spacing w:after="0"/>
      </w:pPr>
    </w:p>
    <w:p w14:paraId="498C4351" w14:textId="77777777" w:rsidR="009C6F8A" w:rsidRDefault="00727BBA">
      <w:r>
        <w:t>Iskazano smanjenje se odnosi na otpis nenaplativih potraživanja.</w:t>
      </w:r>
    </w:p>
    <w:p w14:paraId="24FF44FB" w14:textId="77777777" w:rsidR="009C6F8A" w:rsidRDefault="009C6F8A"/>
    <w:p w14:paraId="700620C1" w14:textId="77777777" w:rsidR="009C6F8A" w:rsidRDefault="00727BBA">
      <w:pPr>
        <w:keepNext/>
        <w:spacing w:line="240" w:lineRule="auto"/>
        <w:jc w:val="center"/>
      </w:pPr>
      <w:r>
        <w:rPr>
          <w:b/>
          <w:sz w:val="28"/>
        </w:rPr>
        <w:t>Izvještaj o obvezama</w:t>
      </w:r>
    </w:p>
    <w:p w14:paraId="36238892" w14:textId="77777777" w:rsidR="009C6F8A" w:rsidRDefault="00727BBA">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C6F8A" w14:paraId="07BB47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3B17A4"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06B6CF"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000EF"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50B395" w14:textId="77777777" w:rsidR="009C6F8A" w:rsidRDefault="00727BB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061E0A" w14:textId="77777777" w:rsidR="009C6F8A" w:rsidRDefault="00727BBA">
            <w:pPr>
              <w:keepNext/>
              <w:keepLines/>
              <w:spacing w:after="0" w:line="240" w:lineRule="auto"/>
              <w:jc w:val="center"/>
            </w:pPr>
            <w:r>
              <w:rPr>
                <w:b/>
                <w:sz w:val="18"/>
              </w:rPr>
              <w:t>Indeks (%)</w:t>
            </w:r>
          </w:p>
        </w:tc>
      </w:tr>
      <w:tr w:rsidR="009C6F8A" w14:paraId="720E5B48" w14:textId="77777777">
        <w:tblPrEx>
          <w:tblCellMar>
            <w:top w:w="0" w:type="dxa"/>
            <w:bottom w:w="0" w:type="dxa"/>
          </w:tblCellMar>
        </w:tblPrEx>
        <w:trPr>
          <w:cantSplit/>
          <w:trHeight w:val="560"/>
        </w:trPr>
        <w:tc>
          <w:tcPr>
            <w:tcW w:w="700" w:type="dxa"/>
            <w:tcMar>
              <w:top w:w="0" w:type="dxa"/>
              <w:bottom w:w="0" w:type="dxa"/>
            </w:tcMar>
            <w:vAlign w:val="center"/>
          </w:tcPr>
          <w:p w14:paraId="36ACA90D" w14:textId="77777777" w:rsidR="009C6F8A" w:rsidRDefault="009C6F8A">
            <w:pPr>
              <w:keepNext/>
              <w:keepLines/>
              <w:spacing w:after="0" w:line="240" w:lineRule="auto"/>
            </w:pPr>
          </w:p>
        </w:tc>
        <w:tc>
          <w:tcPr>
            <w:tcW w:w="3180" w:type="dxa"/>
            <w:tcMar>
              <w:top w:w="0" w:type="dxa"/>
              <w:bottom w:w="0" w:type="dxa"/>
            </w:tcMar>
            <w:vAlign w:val="center"/>
          </w:tcPr>
          <w:p w14:paraId="18DE2666" w14:textId="77777777" w:rsidR="009C6F8A" w:rsidRDefault="00727BBA">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D73E642" w14:textId="77777777" w:rsidR="009C6F8A" w:rsidRDefault="00727BBA">
            <w:pPr>
              <w:keepNext/>
              <w:keepLines/>
              <w:spacing w:after="0" w:line="240" w:lineRule="auto"/>
            </w:pPr>
            <w:r>
              <w:rPr>
                <w:sz w:val="18"/>
              </w:rPr>
              <w:t>V006</w:t>
            </w:r>
          </w:p>
        </w:tc>
        <w:tc>
          <w:tcPr>
            <w:tcW w:w="1860" w:type="dxa"/>
            <w:tcMar>
              <w:top w:w="0" w:type="dxa"/>
              <w:bottom w:w="0" w:type="dxa"/>
            </w:tcMar>
            <w:vAlign w:val="center"/>
          </w:tcPr>
          <w:p w14:paraId="0255253B" w14:textId="77777777" w:rsidR="009C6F8A" w:rsidRDefault="00727BBA">
            <w:pPr>
              <w:keepNext/>
              <w:keepLines/>
              <w:spacing w:after="0" w:line="240" w:lineRule="auto"/>
              <w:jc w:val="right"/>
            </w:pPr>
            <w:r>
              <w:rPr>
                <w:sz w:val="18"/>
              </w:rPr>
              <w:t>11.339.651,65</w:t>
            </w:r>
          </w:p>
        </w:tc>
        <w:tc>
          <w:tcPr>
            <w:tcW w:w="700" w:type="dxa"/>
            <w:tcMar>
              <w:top w:w="0" w:type="dxa"/>
              <w:bottom w:w="0" w:type="dxa"/>
            </w:tcMar>
            <w:vAlign w:val="center"/>
          </w:tcPr>
          <w:p w14:paraId="17820534" w14:textId="77777777" w:rsidR="009C6F8A" w:rsidRDefault="00727BBA">
            <w:pPr>
              <w:keepNext/>
              <w:keepLines/>
              <w:spacing w:after="0" w:line="240" w:lineRule="auto"/>
              <w:jc w:val="right"/>
            </w:pPr>
            <w:r>
              <w:rPr>
                <w:sz w:val="18"/>
              </w:rPr>
              <w:t>-</w:t>
            </w:r>
          </w:p>
        </w:tc>
      </w:tr>
    </w:tbl>
    <w:p w14:paraId="2BD0BD43" w14:textId="77777777" w:rsidR="009C6F8A" w:rsidRDefault="009C6F8A">
      <w:pPr>
        <w:spacing w:after="0"/>
      </w:pPr>
    </w:p>
    <w:p w14:paraId="01F98098" w14:textId="77777777" w:rsidR="009C6F8A" w:rsidRDefault="00727BBA">
      <w:r>
        <w:t xml:space="preserve">U  konsolidiranom </w:t>
      </w:r>
      <w:proofErr w:type="spellStart"/>
      <w:r>
        <w:t>obracu</w:t>
      </w:r>
      <w:proofErr w:type="spellEnd"/>
      <w:r>
        <w:t xml:space="preserve"> Obveze eliminirane su međusobne obveze subjekta proračuna.</w:t>
      </w:r>
    </w:p>
    <w:tbl>
      <w:tblPr>
        <w:tblStyle w:val="Reetkatablice"/>
        <w:tblW w:w="2040" w:type="pct"/>
        <w:tblLook w:val="04A0" w:firstRow="1" w:lastRow="0" w:firstColumn="1" w:lastColumn="0" w:noHBand="0" w:noVBand="1"/>
      </w:tblPr>
      <w:tblGrid>
        <w:gridCol w:w="1670"/>
        <w:gridCol w:w="2027"/>
      </w:tblGrid>
      <w:tr w:rsidR="009C6F8A" w14:paraId="312E6270" w14:textId="77777777">
        <w:tc>
          <w:tcPr>
            <w:tcW w:w="1691" w:type="pct"/>
            <w:vAlign w:val="center"/>
          </w:tcPr>
          <w:p w14:paraId="5BC7051C" w14:textId="77777777" w:rsidR="009C6F8A" w:rsidRDefault="00727BBA">
            <w:r>
              <w:t>Obveze Grada Svete Nedelje</w:t>
            </w:r>
          </w:p>
        </w:tc>
        <w:tc>
          <w:tcPr>
            <w:tcW w:w="3308" w:type="pct"/>
            <w:vAlign w:val="center"/>
          </w:tcPr>
          <w:p w14:paraId="7D1BDE5C" w14:textId="77777777" w:rsidR="009C6F8A" w:rsidRDefault="00727BBA">
            <w:pPr>
              <w:keepNext/>
              <w:jc w:val="right"/>
            </w:pPr>
            <w:r>
              <w:t>10.971.317,49 eura</w:t>
            </w:r>
          </w:p>
        </w:tc>
      </w:tr>
      <w:tr w:rsidR="009C6F8A" w14:paraId="3DF9AFEE" w14:textId="77777777">
        <w:tc>
          <w:tcPr>
            <w:tcW w:w="1691" w:type="pct"/>
            <w:vAlign w:val="center"/>
          </w:tcPr>
          <w:p w14:paraId="5B8335A2" w14:textId="77777777" w:rsidR="009C6F8A" w:rsidRDefault="00727BBA">
            <w:r>
              <w:t>Obveze DV Slavuj</w:t>
            </w:r>
          </w:p>
        </w:tc>
        <w:tc>
          <w:tcPr>
            <w:tcW w:w="3308" w:type="pct"/>
            <w:vAlign w:val="center"/>
          </w:tcPr>
          <w:p w14:paraId="53AD649D" w14:textId="77777777" w:rsidR="009C6F8A" w:rsidRDefault="00727BBA">
            <w:pPr>
              <w:keepNext/>
              <w:jc w:val="right"/>
            </w:pPr>
            <w:r>
              <w:t>441.491,31 eura</w:t>
            </w:r>
          </w:p>
        </w:tc>
      </w:tr>
      <w:tr w:rsidR="009C6F8A" w14:paraId="5C501697" w14:textId="77777777">
        <w:tc>
          <w:tcPr>
            <w:tcW w:w="1691" w:type="pct"/>
            <w:vAlign w:val="center"/>
          </w:tcPr>
          <w:p w14:paraId="2EDF0F95" w14:textId="77777777" w:rsidR="009C6F8A" w:rsidRDefault="00727BBA">
            <w:r>
              <w:t>Obveze Knjižnice Mihaela Šiloboda</w:t>
            </w:r>
          </w:p>
        </w:tc>
        <w:tc>
          <w:tcPr>
            <w:tcW w:w="3308" w:type="pct"/>
            <w:vAlign w:val="center"/>
          </w:tcPr>
          <w:p w14:paraId="3E65A3F7" w14:textId="77777777" w:rsidR="009C6F8A" w:rsidRDefault="00727BBA">
            <w:pPr>
              <w:keepNext/>
              <w:jc w:val="right"/>
            </w:pPr>
            <w:r>
              <w:t>17.715,44 eura</w:t>
            </w:r>
          </w:p>
        </w:tc>
      </w:tr>
      <w:tr w:rsidR="009C6F8A" w14:paraId="593227ED" w14:textId="77777777">
        <w:tc>
          <w:tcPr>
            <w:tcW w:w="1691" w:type="pct"/>
            <w:vAlign w:val="center"/>
          </w:tcPr>
          <w:p w14:paraId="077F9339" w14:textId="77777777" w:rsidR="009C6F8A" w:rsidRDefault="00727BBA">
            <w:r>
              <w:t>eliminirane međusobne obveze</w:t>
            </w:r>
          </w:p>
        </w:tc>
        <w:tc>
          <w:tcPr>
            <w:tcW w:w="3308" w:type="pct"/>
            <w:vAlign w:val="center"/>
          </w:tcPr>
          <w:p w14:paraId="443FA88E" w14:textId="77777777" w:rsidR="009C6F8A" w:rsidRDefault="00727BBA">
            <w:pPr>
              <w:keepNext/>
              <w:jc w:val="right"/>
            </w:pPr>
            <w:r>
              <w:t>90.872,59 eura</w:t>
            </w:r>
          </w:p>
        </w:tc>
      </w:tr>
      <w:tr w:rsidR="009C6F8A" w14:paraId="4365EEC0" w14:textId="77777777">
        <w:tc>
          <w:tcPr>
            <w:tcW w:w="1691" w:type="pct"/>
            <w:vAlign w:val="center"/>
          </w:tcPr>
          <w:p w14:paraId="74328EDA" w14:textId="77777777" w:rsidR="009C6F8A" w:rsidRDefault="00727BBA">
            <w:r>
              <w:t xml:space="preserve">SVEUKUPNO konsolidirane </w:t>
            </w:r>
            <w:r>
              <w:lastRenderedPageBreak/>
              <w:t>obveze</w:t>
            </w:r>
          </w:p>
        </w:tc>
        <w:tc>
          <w:tcPr>
            <w:tcW w:w="3308" w:type="pct"/>
            <w:vAlign w:val="center"/>
          </w:tcPr>
          <w:p w14:paraId="529F46A4" w14:textId="77777777" w:rsidR="009C6F8A" w:rsidRDefault="00727BBA">
            <w:pPr>
              <w:keepNext/>
              <w:jc w:val="right"/>
            </w:pPr>
            <w:r>
              <w:lastRenderedPageBreak/>
              <w:t>11.339.651,65 eura</w:t>
            </w:r>
          </w:p>
        </w:tc>
      </w:tr>
    </w:tbl>
    <w:p w14:paraId="3885082D" w14:textId="77777777" w:rsidR="009C6F8A" w:rsidRDefault="00727BBA">
      <w:r>
        <w:t> </w:t>
      </w:r>
    </w:p>
    <w:p w14:paraId="62978AAD" w14:textId="77777777" w:rsidR="009C6F8A" w:rsidRDefault="00727BBA">
      <w:r>
        <w:t xml:space="preserve">Stanje ukupnih obveza na dan iznosi 11.339.651,65 eura  i to nakon što je u konsolidaciji eliminiran iznos od  90.872,59 eura  a koji se odnosi na obveze koje su iskazane u međusobnim obvezama subjekta općeg proračuna  u iznosu od  90.690,73 eura i obveze koje su iskazane na 27611 u iznosu od  181,86 eura  kod </w:t>
      </w:r>
      <w:proofErr w:type="spellStart"/>
      <w:r>
        <w:t>proračunkog</w:t>
      </w:r>
      <w:proofErr w:type="spellEnd"/>
      <w:r>
        <w:t xml:space="preserve"> korisnika Knjižnice Mihaela Šiloboda. Iznos od 90.690,73 eura odnosi se na sredstva proračunskih korisnika kod nadležnog proračuna evidentiranih na računu 27411.</w:t>
      </w:r>
    </w:p>
    <w:p w14:paraId="6AAFF100" w14:textId="77777777" w:rsidR="009C6F8A" w:rsidRDefault="00727BBA">
      <w:r>
        <w:t> </w:t>
      </w:r>
    </w:p>
    <w:p w14:paraId="7ABD8B40" w14:textId="77777777" w:rsidR="009C6F8A" w:rsidRDefault="009C6F8A"/>
    <w:p w14:paraId="549418ED" w14:textId="77777777" w:rsidR="009C6F8A" w:rsidRDefault="00727BBA">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C6F8A" w14:paraId="38783E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8D0D8B" w14:textId="77777777" w:rsidR="009C6F8A" w:rsidRDefault="00727BB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D7858" w14:textId="77777777" w:rsidR="009C6F8A" w:rsidRDefault="00727BB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0EA28F" w14:textId="77777777" w:rsidR="009C6F8A" w:rsidRDefault="00727BB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F1295" w14:textId="77777777" w:rsidR="009C6F8A" w:rsidRDefault="00727BB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F88E4E" w14:textId="77777777" w:rsidR="009C6F8A" w:rsidRDefault="00727BBA">
            <w:pPr>
              <w:keepNext/>
              <w:keepLines/>
              <w:spacing w:after="0" w:line="240" w:lineRule="auto"/>
              <w:jc w:val="center"/>
            </w:pPr>
            <w:r>
              <w:rPr>
                <w:b/>
                <w:sz w:val="18"/>
              </w:rPr>
              <w:t>Indeks (%)</w:t>
            </w:r>
          </w:p>
        </w:tc>
      </w:tr>
      <w:tr w:rsidR="009C6F8A" w14:paraId="227661CD" w14:textId="77777777">
        <w:tblPrEx>
          <w:tblCellMar>
            <w:top w:w="0" w:type="dxa"/>
            <w:bottom w:w="0" w:type="dxa"/>
          </w:tblCellMar>
        </w:tblPrEx>
        <w:trPr>
          <w:cantSplit/>
          <w:trHeight w:val="560"/>
        </w:trPr>
        <w:tc>
          <w:tcPr>
            <w:tcW w:w="700" w:type="dxa"/>
            <w:tcMar>
              <w:top w:w="0" w:type="dxa"/>
              <w:bottom w:w="0" w:type="dxa"/>
            </w:tcMar>
            <w:vAlign w:val="center"/>
          </w:tcPr>
          <w:p w14:paraId="78091B88" w14:textId="77777777" w:rsidR="009C6F8A" w:rsidRDefault="009C6F8A">
            <w:pPr>
              <w:keepNext/>
              <w:keepLines/>
              <w:spacing w:after="0" w:line="240" w:lineRule="auto"/>
            </w:pPr>
          </w:p>
        </w:tc>
        <w:tc>
          <w:tcPr>
            <w:tcW w:w="3180" w:type="dxa"/>
            <w:tcMar>
              <w:top w:w="0" w:type="dxa"/>
              <w:bottom w:w="0" w:type="dxa"/>
            </w:tcMar>
            <w:vAlign w:val="center"/>
          </w:tcPr>
          <w:p w14:paraId="10722273" w14:textId="77777777" w:rsidR="009C6F8A" w:rsidRDefault="00727BB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5A05AF1" w14:textId="77777777" w:rsidR="009C6F8A" w:rsidRDefault="00727BBA">
            <w:pPr>
              <w:keepNext/>
              <w:keepLines/>
              <w:spacing w:after="0" w:line="240" w:lineRule="auto"/>
            </w:pPr>
            <w:r>
              <w:rPr>
                <w:sz w:val="18"/>
              </w:rPr>
              <w:t>V007</w:t>
            </w:r>
          </w:p>
        </w:tc>
        <w:tc>
          <w:tcPr>
            <w:tcW w:w="1860" w:type="dxa"/>
            <w:tcMar>
              <w:top w:w="0" w:type="dxa"/>
              <w:bottom w:w="0" w:type="dxa"/>
            </w:tcMar>
            <w:vAlign w:val="center"/>
          </w:tcPr>
          <w:p w14:paraId="73CD75C3" w14:textId="77777777" w:rsidR="009C6F8A" w:rsidRDefault="00727BBA">
            <w:pPr>
              <w:keepNext/>
              <w:keepLines/>
              <w:spacing w:after="0" w:line="240" w:lineRule="auto"/>
              <w:jc w:val="right"/>
            </w:pPr>
            <w:r>
              <w:rPr>
                <w:sz w:val="18"/>
              </w:rPr>
              <w:t>5.530,58</w:t>
            </w:r>
          </w:p>
        </w:tc>
        <w:tc>
          <w:tcPr>
            <w:tcW w:w="700" w:type="dxa"/>
            <w:tcMar>
              <w:top w:w="0" w:type="dxa"/>
              <w:bottom w:w="0" w:type="dxa"/>
            </w:tcMar>
            <w:vAlign w:val="center"/>
          </w:tcPr>
          <w:p w14:paraId="2C2BAC1B" w14:textId="77777777" w:rsidR="009C6F8A" w:rsidRDefault="00727BBA">
            <w:pPr>
              <w:keepNext/>
              <w:keepLines/>
              <w:spacing w:after="0" w:line="240" w:lineRule="auto"/>
              <w:jc w:val="right"/>
            </w:pPr>
            <w:r>
              <w:rPr>
                <w:sz w:val="18"/>
              </w:rPr>
              <w:t>-</w:t>
            </w:r>
          </w:p>
        </w:tc>
      </w:tr>
    </w:tbl>
    <w:p w14:paraId="3292AEB8" w14:textId="77777777" w:rsidR="009C6F8A" w:rsidRDefault="009C6F8A">
      <w:pPr>
        <w:spacing w:after="0"/>
      </w:pPr>
    </w:p>
    <w:p w14:paraId="404599FE" w14:textId="77777777" w:rsidR="009C6F8A" w:rsidRDefault="00727BBA">
      <w:r>
        <w:t>Dospjele obveze na kraju izvještajnog razdoblja iznose 5.530,58 eura i odnose se na Grad.  Do prekoračenja je došlo iz razloga  jer  isporuke nisu  bile u skladu  s narudžbom. Nakon otklanjanja nedostataka  od strane dobavljača obveze  su podmirene u 2026.godini.</w:t>
      </w:r>
    </w:p>
    <w:p w14:paraId="4931743F" w14:textId="77777777" w:rsidR="009C6F8A" w:rsidRDefault="009C6F8A"/>
    <w:p w14:paraId="09457FF7" w14:textId="77777777" w:rsidR="009C6F8A" w:rsidRDefault="00727BBA">
      <w:pPr>
        <w:keepNext/>
        <w:spacing w:line="240" w:lineRule="auto"/>
        <w:jc w:val="center"/>
      </w:pPr>
      <w:r>
        <w:rPr>
          <w:sz w:val="28"/>
        </w:rPr>
        <w:t>Bilješka 59.</w:t>
      </w:r>
    </w:p>
    <w:p w14:paraId="4A4AC97F" w14:textId="77777777" w:rsidR="009C6F8A" w:rsidRDefault="00727BBA">
      <w:pPr>
        <w:spacing w:line="240" w:lineRule="auto"/>
        <w:jc w:val="both"/>
      </w:pPr>
      <w:proofErr w:type="spellStart"/>
      <w:r>
        <w:rPr>
          <w:b/>
        </w:rPr>
        <w:t>Unutargrupne</w:t>
      </w:r>
      <w:proofErr w:type="spellEnd"/>
      <w:r>
        <w:rPr>
          <w:b/>
        </w:rPr>
        <w:t xml:space="preserve"> transakcije koje su u izvještajima eliminirane</w:t>
      </w:r>
    </w:p>
    <w:p w14:paraId="3220F1C4" w14:textId="77777777" w:rsidR="009C6F8A" w:rsidRDefault="00727BBA">
      <w:r>
        <w:t> </w:t>
      </w:r>
    </w:p>
    <w:p w14:paraId="34E7C3DF" w14:textId="77777777" w:rsidR="009C6F8A" w:rsidRDefault="00727BBA">
      <w:r>
        <w:t xml:space="preserve">U konsolidiranom financijskom izvještaju eliminirane su sljedeće </w:t>
      </w:r>
      <w:proofErr w:type="spellStart"/>
      <w:r>
        <w:t>unutargrupne</w:t>
      </w:r>
      <w:proofErr w:type="spellEnd"/>
      <w:r>
        <w:t xml:space="preserve"> transakcije:</w:t>
      </w:r>
    </w:p>
    <w:p w14:paraId="3A52096B" w14:textId="77777777" w:rsidR="009C6F8A" w:rsidRDefault="00727BBA">
      <w:r>
        <w:t>obrazac PR-RAS</w:t>
      </w:r>
    </w:p>
    <w:p w14:paraId="78402BAE" w14:textId="77777777" w:rsidR="009C6F8A" w:rsidRDefault="00727BBA">
      <w:r>
        <w:t>Pri izradi konsolidiranog financijskog izvještaja  PR-RAS eliminirani su prihodi koje proračunski korisnici ostvaruju iz nadležnog proračuna ( na podskupini 671) u iznosu od 4.586.418,35 eura  ( DV 4.342.116,85 eura i Knjižnica Mihaela Šiloboda 244.301,50 eura)   a na rashodovnoj strani prijenosi proračunskim korisnicima iz nadležnog proračuna za financiranje redovne djelatnosti  u iznosu od  4.586.418,35 eura ( na podskupini 367) </w:t>
      </w:r>
    </w:p>
    <w:p w14:paraId="50D89BEF" w14:textId="77777777" w:rsidR="009C6F8A" w:rsidRDefault="00727BBA">
      <w:r>
        <w:t>obrazac Bilanca</w:t>
      </w:r>
    </w:p>
    <w:p w14:paraId="20E3050E" w14:textId="77777777" w:rsidR="009C6F8A" w:rsidRDefault="00727BBA">
      <w:r>
        <w:t>•        konto 1672 potraživanja proračunskih korisnika za sredstva uplaćena u nadležni proračun / konto 27411  obveze proračuna za naplaćena        sredstva proračunskih korisnika - 90.690,73 eura</w:t>
      </w:r>
    </w:p>
    <w:p w14:paraId="4045ACC6" w14:textId="77777777" w:rsidR="009C6F8A" w:rsidRDefault="00727BBA">
      <w:r>
        <w:t>•        konto 12941 potraživanja proračuna od proračunskih korisnika za povrat u nadležni proračuna / konto 27611 obveza proračunskog korisnika za  povrat u nadležni proračun - 181,86 eura</w:t>
      </w:r>
    </w:p>
    <w:p w14:paraId="4C01F4BB" w14:textId="77777777" w:rsidR="009C6F8A" w:rsidRDefault="00727BBA">
      <w:r>
        <w:lastRenderedPageBreak/>
        <w:t>obrazac P-VRIO</w:t>
      </w:r>
    </w:p>
    <w:p w14:paraId="02168ABF" w14:textId="77777777" w:rsidR="009C6F8A" w:rsidRDefault="00727BBA">
      <w:r>
        <w:t>U obrascu P-VRIO  u konsolidaciji na P018- Proizvedena dugotrajna imovina  eliminirano je 1.517.668,74 eura, što se odnosi na prijenos zgrade DV Slavuj u Novakima sa proračunskog korisnika na Grad.</w:t>
      </w:r>
    </w:p>
    <w:p w14:paraId="35D56893" w14:textId="77777777" w:rsidR="009C6F8A" w:rsidRDefault="00727BBA">
      <w:r>
        <w:t>obrazac Obveze</w:t>
      </w:r>
    </w:p>
    <w:p w14:paraId="5719A92B" w14:textId="77777777" w:rsidR="009C6F8A" w:rsidRDefault="00727BBA">
      <w:r>
        <w:t>U obrascu obveze eliminirane su :</w:t>
      </w:r>
    </w:p>
    <w:p w14:paraId="0E7BB855" w14:textId="77777777" w:rsidR="009C6F8A" w:rsidRDefault="00727BBA">
      <w:r>
        <w:t>•        obveze za naplaćene prihode proračunskih korisnika - 90.690,73 eura ( 27411)</w:t>
      </w:r>
    </w:p>
    <w:p w14:paraId="3B5B42F6" w14:textId="77777777" w:rsidR="009C6F8A" w:rsidRDefault="00727BBA">
      <w:r>
        <w:t>•        obveza proračunskog korisnika za povrat u nadležni proračun - 181,86 eura (27611)</w:t>
      </w:r>
    </w:p>
    <w:p w14:paraId="3724A60B" w14:textId="77777777" w:rsidR="009C6F8A" w:rsidRDefault="00727BBA">
      <w:r>
        <w:t> </w:t>
      </w:r>
    </w:p>
    <w:p w14:paraId="1402C333" w14:textId="77777777" w:rsidR="009C6F8A" w:rsidRDefault="009C6F8A"/>
    <w:p w14:paraId="49072EC7" w14:textId="77777777" w:rsidR="009C6F8A" w:rsidRDefault="00727BBA">
      <w:pPr>
        <w:keepNext/>
        <w:spacing w:line="240" w:lineRule="auto"/>
        <w:jc w:val="center"/>
      </w:pPr>
      <w:r>
        <w:rPr>
          <w:sz w:val="28"/>
        </w:rPr>
        <w:t>Bilješka 60.</w:t>
      </w:r>
    </w:p>
    <w:p w14:paraId="339A6B6D" w14:textId="77777777" w:rsidR="009C6F8A" w:rsidRDefault="00727BBA">
      <w:pPr>
        <w:spacing w:line="240" w:lineRule="auto"/>
        <w:jc w:val="both"/>
      </w:pPr>
      <w:r>
        <w:rPr>
          <w:b/>
        </w:rPr>
        <w:t xml:space="preserve">Manjak ili višak u poslovanju grupe i pregled strukture manjka/viška po proračunskim korisnicima </w:t>
      </w:r>
    </w:p>
    <w:tbl>
      <w:tblPr>
        <w:tblStyle w:val="Reetkatablice"/>
        <w:tblW w:w="5000" w:type="pct"/>
        <w:jc w:val="center"/>
        <w:tblLook w:val="04A0" w:firstRow="1" w:lastRow="0" w:firstColumn="1" w:lastColumn="0" w:noHBand="0" w:noVBand="1"/>
      </w:tblPr>
      <w:tblGrid>
        <w:gridCol w:w="1813"/>
        <w:gridCol w:w="1813"/>
        <w:gridCol w:w="1812"/>
        <w:gridCol w:w="1812"/>
        <w:gridCol w:w="1812"/>
      </w:tblGrid>
      <w:tr w:rsidR="009C6F8A" w14:paraId="575950B8" w14:textId="77777777">
        <w:trPr>
          <w:jc w:val="center"/>
        </w:trPr>
        <w:tc>
          <w:tcPr>
            <w:tcW w:w="998" w:type="pct"/>
            <w:vAlign w:val="center"/>
          </w:tcPr>
          <w:p w14:paraId="4617F3FD" w14:textId="77777777" w:rsidR="009C6F8A" w:rsidRDefault="00727BBA">
            <w:r>
              <w:t> </w:t>
            </w:r>
          </w:p>
        </w:tc>
        <w:tc>
          <w:tcPr>
            <w:tcW w:w="998" w:type="pct"/>
            <w:vAlign w:val="center"/>
          </w:tcPr>
          <w:p w14:paraId="1FF7FE03" w14:textId="77777777" w:rsidR="009C6F8A" w:rsidRDefault="00727BBA">
            <w:pPr>
              <w:keepNext/>
              <w:jc w:val="center"/>
            </w:pPr>
            <w:r>
              <w:t>Grad</w:t>
            </w:r>
          </w:p>
        </w:tc>
        <w:tc>
          <w:tcPr>
            <w:tcW w:w="998" w:type="pct"/>
            <w:vAlign w:val="center"/>
          </w:tcPr>
          <w:p w14:paraId="07D88F69" w14:textId="77777777" w:rsidR="009C6F8A" w:rsidRDefault="00727BBA">
            <w:pPr>
              <w:keepNext/>
              <w:jc w:val="center"/>
            </w:pPr>
            <w:r>
              <w:t>DV Slavuj</w:t>
            </w:r>
          </w:p>
        </w:tc>
        <w:tc>
          <w:tcPr>
            <w:tcW w:w="998" w:type="pct"/>
            <w:vAlign w:val="center"/>
          </w:tcPr>
          <w:p w14:paraId="1A026C37" w14:textId="77777777" w:rsidR="009C6F8A" w:rsidRDefault="00727BBA">
            <w:pPr>
              <w:keepNext/>
              <w:jc w:val="center"/>
            </w:pPr>
            <w:r>
              <w:t>Knjižnica Mihaela Šiloboda</w:t>
            </w:r>
          </w:p>
        </w:tc>
        <w:tc>
          <w:tcPr>
            <w:tcW w:w="998" w:type="pct"/>
            <w:vAlign w:val="center"/>
          </w:tcPr>
          <w:p w14:paraId="69FE2EE1" w14:textId="77777777" w:rsidR="009C6F8A" w:rsidRDefault="00727BBA">
            <w:pPr>
              <w:keepNext/>
              <w:jc w:val="center"/>
            </w:pPr>
            <w:r>
              <w:t>Ukupno</w:t>
            </w:r>
          </w:p>
        </w:tc>
      </w:tr>
      <w:tr w:rsidR="009C6F8A" w14:paraId="057AD88C" w14:textId="77777777">
        <w:trPr>
          <w:jc w:val="center"/>
        </w:trPr>
        <w:tc>
          <w:tcPr>
            <w:tcW w:w="998" w:type="pct"/>
            <w:vAlign w:val="center"/>
          </w:tcPr>
          <w:p w14:paraId="187A7AAA" w14:textId="77777777" w:rsidR="009C6F8A" w:rsidRDefault="00727BBA">
            <w:pPr>
              <w:keepNext/>
              <w:jc w:val="center"/>
            </w:pPr>
            <w:r>
              <w:t>Višak/manjak prihoda poslovanja</w:t>
            </w:r>
          </w:p>
        </w:tc>
        <w:tc>
          <w:tcPr>
            <w:tcW w:w="998" w:type="pct"/>
            <w:vAlign w:val="center"/>
          </w:tcPr>
          <w:p w14:paraId="2DC07ABD" w14:textId="77777777" w:rsidR="009C6F8A" w:rsidRDefault="00727BBA">
            <w:pPr>
              <w:keepNext/>
              <w:jc w:val="center"/>
            </w:pPr>
            <w:r>
              <w:t>9.454.914,40 €</w:t>
            </w:r>
          </w:p>
        </w:tc>
        <w:tc>
          <w:tcPr>
            <w:tcW w:w="998" w:type="pct"/>
            <w:vAlign w:val="center"/>
          </w:tcPr>
          <w:p w14:paraId="4C317A3A" w14:textId="77777777" w:rsidR="009C6F8A" w:rsidRDefault="00727BBA">
            <w:pPr>
              <w:keepNext/>
              <w:jc w:val="center"/>
            </w:pPr>
            <w:r>
              <w:t>-169.506,45 €</w:t>
            </w:r>
          </w:p>
        </w:tc>
        <w:tc>
          <w:tcPr>
            <w:tcW w:w="998" w:type="pct"/>
            <w:vAlign w:val="center"/>
          </w:tcPr>
          <w:p w14:paraId="212AED8C" w14:textId="77777777" w:rsidR="009C6F8A" w:rsidRDefault="00727BBA">
            <w:pPr>
              <w:keepNext/>
              <w:jc w:val="center"/>
            </w:pPr>
            <w:r>
              <w:t>-11.308,76 €</w:t>
            </w:r>
          </w:p>
        </w:tc>
        <w:tc>
          <w:tcPr>
            <w:tcW w:w="998" w:type="pct"/>
            <w:vAlign w:val="center"/>
          </w:tcPr>
          <w:p w14:paraId="06E7CB9C" w14:textId="77777777" w:rsidR="009C6F8A" w:rsidRDefault="00727BBA">
            <w:pPr>
              <w:keepNext/>
              <w:jc w:val="center"/>
            </w:pPr>
            <w:r>
              <w:t>9.274.099,19 €</w:t>
            </w:r>
          </w:p>
        </w:tc>
      </w:tr>
      <w:tr w:rsidR="009C6F8A" w14:paraId="18F49215" w14:textId="77777777">
        <w:trPr>
          <w:jc w:val="center"/>
        </w:trPr>
        <w:tc>
          <w:tcPr>
            <w:tcW w:w="998" w:type="pct"/>
            <w:vAlign w:val="center"/>
          </w:tcPr>
          <w:p w14:paraId="54D2212A" w14:textId="77777777" w:rsidR="009C6F8A" w:rsidRDefault="00727BBA">
            <w:pPr>
              <w:keepNext/>
              <w:jc w:val="center"/>
            </w:pPr>
            <w:r>
              <w:t>Višak/manjak primitaka od financijske imovine  </w:t>
            </w:r>
          </w:p>
        </w:tc>
        <w:tc>
          <w:tcPr>
            <w:tcW w:w="998" w:type="pct"/>
            <w:vAlign w:val="center"/>
          </w:tcPr>
          <w:p w14:paraId="1C4F2BD7" w14:textId="77777777" w:rsidR="009C6F8A" w:rsidRDefault="00727BBA">
            <w:pPr>
              <w:keepNext/>
              <w:jc w:val="center"/>
            </w:pPr>
            <w:r>
              <w:t>3.604.802,40 €</w:t>
            </w:r>
          </w:p>
        </w:tc>
        <w:tc>
          <w:tcPr>
            <w:tcW w:w="998" w:type="pct"/>
            <w:vAlign w:val="center"/>
          </w:tcPr>
          <w:p w14:paraId="245199F2" w14:textId="77777777" w:rsidR="009C6F8A" w:rsidRDefault="00727BBA">
            <w:pPr>
              <w:keepNext/>
              <w:jc w:val="center"/>
            </w:pPr>
            <w:r>
              <w:t>0,00 €</w:t>
            </w:r>
          </w:p>
        </w:tc>
        <w:tc>
          <w:tcPr>
            <w:tcW w:w="998" w:type="pct"/>
            <w:vAlign w:val="center"/>
          </w:tcPr>
          <w:p w14:paraId="698B8D49" w14:textId="77777777" w:rsidR="009C6F8A" w:rsidRDefault="00727BBA">
            <w:pPr>
              <w:keepNext/>
              <w:jc w:val="center"/>
            </w:pPr>
            <w:r>
              <w:t>0,00 €</w:t>
            </w:r>
          </w:p>
        </w:tc>
        <w:tc>
          <w:tcPr>
            <w:tcW w:w="998" w:type="pct"/>
            <w:vAlign w:val="center"/>
          </w:tcPr>
          <w:p w14:paraId="29B82873" w14:textId="77777777" w:rsidR="009C6F8A" w:rsidRDefault="00727BBA">
            <w:pPr>
              <w:keepNext/>
              <w:jc w:val="center"/>
            </w:pPr>
            <w:r>
              <w:t>3.604.802,40 €</w:t>
            </w:r>
          </w:p>
        </w:tc>
      </w:tr>
      <w:tr w:rsidR="009C6F8A" w14:paraId="1FAD8518" w14:textId="77777777">
        <w:trPr>
          <w:jc w:val="center"/>
        </w:trPr>
        <w:tc>
          <w:tcPr>
            <w:tcW w:w="998" w:type="pct"/>
            <w:vAlign w:val="center"/>
          </w:tcPr>
          <w:p w14:paraId="7994DBFC" w14:textId="77777777" w:rsidR="009C6F8A" w:rsidRDefault="00727BBA">
            <w:pPr>
              <w:keepNext/>
              <w:jc w:val="center"/>
            </w:pPr>
            <w:r>
              <w:t>Višak/manjak prihoda od nefinancijske imovine</w:t>
            </w:r>
          </w:p>
        </w:tc>
        <w:tc>
          <w:tcPr>
            <w:tcW w:w="998" w:type="pct"/>
            <w:vAlign w:val="center"/>
          </w:tcPr>
          <w:p w14:paraId="5EC840C4" w14:textId="77777777" w:rsidR="009C6F8A" w:rsidRDefault="00727BBA">
            <w:pPr>
              <w:keepNext/>
              <w:jc w:val="center"/>
            </w:pPr>
            <w:r>
              <w:t>-923.795,36 €</w:t>
            </w:r>
          </w:p>
        </w:tc>
        <w:tc>
          <w:tcPr>
            <w:tcW w:w="998" w:type="pct"/>
            <w:vAlign w:val="center"/>
          </w:tcPr>
          <w:p w14:paraId="43698089" w14:textId="77777777" w:rsidR="009C6F8A" w:rsidRDefault="00727BBA">
            <w:pPr>
              <w:keepNext/>
              <w:jc w:val="center"/>
            </w:pPr>
            <w:r>
              <w:t>-116.854,49 €</w:t>
            </w:r>
          </w:p>
        </w:tc>
        <w:tc>
          <w:tcPr>
            <w:tcW w:w="998" w:type="pct"/>
            <w:vAlign w:val="center"/>
          </w:tcPr>
          <w:p w14:paraId="4174DFBC" w14:textId="77777777" w:rsidR="009C6F8A" w:rsidRDefault="00727BBA">
            <w:pPr>
              <w:keepNext/>
              <w:jc w:val="center"/>
            </w:pPr>
            <w:r>
              <w:t>-11,83 €</w:t>
            </w:r>
          </w:p>
        </w:tc>
        <w:tc>
          <w:tcPr>
            <w:tcW w:w="998" w:type="pct"/>
            <w:vAlign w:val="center"/>
          </w:tcPr>
          <w:p w14:paraId="3BB81294" w14:textId="77777777" w:rsidR="009C6F8A" w:rsidRDefault="00727BBA">
            <w:pPr>
              <w:keepNext/>
              <w:jc w:val="center"/>
            </w:pPr>
            <w:r>
              <w:t>-1.040.661,68 €</w:t>
            </w:r>
          </w:p>
        </w:tc>
      </w:tr>
      <w:tr w:rsidR="009C6F8A" w14:paraId="2911D697" w14:textId="77777777">
        <w:trPr>
          <w:jc w:val="center"/>
        </w:trPr>
        <w:tc>
          <w:tcPr>
            <w:tcW w:w="998" w:type="pct"/>
            <w:vAlign w:val="center"/>
          </w:tcPr>
          <w:p w14:paraId="5ED7AE94" w14:textId="77777777" w:rsidR="009C6F8A" w:rsidRDefault="00727BBA">
            <w:pPr>
              <w:keepNext/>
              <w:jc w:val="center"/>
            </w:pPr>
            <w:r>
              <w:t>UKUPNO višak/manjak</w:t>
            </w:r>
          </w:p>
        </w:tc>
        <w:tc>
          <w:tcPr>
            <w:tcW w:w="998" w:type="pct"/>
            <w:vAlign w:val="center"/>
          </w:tcPr>
          <w:p w14:paraId="13513AD6" w14:textId="77777777" w:rsidR="009C6F8A" w:rsidRDefault="00727BBA">
            <w:pPr>
              <w:keepNext/>
              <w:jc w:val="center"/>
            </w:pPr>
            <w:r>
              <w:t>12.135.921,44 €</w:t>
            </w:r>
          </w:p>
        </w:tc>
        <w:tc>
          <w:tcPr>
            <w:tcW w:w="998" w:type="pct"/>
            <w:vAlign w:val="center"/>
          </w:tcPr>
          <w:p w14:paraId="2E4AD9C4" w14:textId="77777777" w:rsidR="009C6F8A" w:rsidRDefault="00727BBA">
            <w:pPr>
              <w:keepNext/>
              <w:jc w:val="center"/>
            </w:pPr>
            <w:r>
              <w:t>-286.360,94 €</w:t>
            </w:r>
          </w:p>
        </w:tc>
        <w:tc>
          <w:tcPr>
            <w:tcW w:w="998" w:type="pct"/>
            <w:vAlign w:val="center"/>
          </w:tcPr>
          <w:p w14:paraId="08910C9F" w14:textId="77777777" w:rsidR="009C6F8A" w:rsidRDefault="00727BBA">
            <w:pPr>
              <w:keepNext/>
              <w:jc w:val="center"/>
            </w:pPr>
            <w:r>
              <w:t>-11.320,59 €</w:t>
            </w:r>
          </w:p>
        </w:tc>
        <w:tc>
          <w:tcPr>
            <w:tcW w:w="998" w:type="pct"/>
            <w:vAlign w:val="center"/>
          </w:tcPr>
          <w:p w14:paraId="3F9DF020" w14:textId="77777777" w:rsidR="009C6F8A" w:rsidRDefault="00727BBA">
            <w:pPr>
              <w:keepNext/>
              <w:jc w:val="center"/>
            </w:pPr>
            <w:r>
              <w:t>11.838.239,91 €</w:t>
            </w:r>
          </w:p>
        </w:tc>
      </w:tr>
    </w:tbl>
    <w:p w14:paraId="2C6225F7" w14:textId="77777777" w:rsidR="009C6F8A" w:rsidRDefault="00727BBA">
      <w:pPr>
        <w:jc w:val="center"/>
      </w:pPr>
      <w:r>
        <w:t> </w:t>
      </w:r>
    </w:p>
    <w:p w14:paraId="4C5736AB" w14:textId="77777777" w:rsidR="009C6F8A" w:rsidRDefault="009C6F8A"/>
    <w:sectPr w:rsidR="009C6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8A"/>
    <w:rsid w:val="00486331"/>
    <w:rsid w:val="00727BBA"/>
    <w:rsid w:val="009C6F8A"/>
    <w:rsid w:val="00A50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D330"/>
  <w15:docId w15:val="{A929D85A-B935-46B9-9FD5-F441416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5557</Words>
  <Characters>31676</Characters>
  <Application>Microsoft Office Word</Application>
  <DocSecurity>0</DocSecurity>
  <Lines>263</Lines>
  <Paragraphs>74</Paragraphs>
  <ScaleCrop>false</ScaleCrop>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Ribarević</dc:creator>
  <cp:lastModifiedBy>Suzana Ribarević</cp:lastModifiedBy>
  <cp:revision>2</cp:revision>
  <dcterms:created xsi:type="dcterms:W3CDTF">2026-03-02T14:39:00Z</dcterms:created>
  <dcterms:modified xsi:type="dcterms:W3CDTF">2026-03-02T14:39:00Z</dcterms:modified>
</cp:coreProperties>
</file>