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F57B0" w14:textId="77777777" w:rsidR="001705BB" w:rsidRPr="00C5376C" w:rsidRDefault="001705BB" w:rsidP="001705BB">
      <w:pPr>
        <w:pStyle w:val="Bezproreda"/>
        <w:rPr>
          <w:sz w:val="22"/>
          <w:szCs w:val="22"/>
          <w:highlight w:val="yellow"/>
          <w:lang w:eastAsia="en-US"/>
        </w:rPr>
      </w:pPr>
    </w:p>
    <w:p w14:paraId="58387A54" w14:textId="77777777" w:rsidR="001705BB" w:rsidRPr="00C5376C" w:rsidRDefault="001705BB" w:rsidP="001705BB">
      <w:pPr>
        <w:pStyle w:val="Bezproreda"/>
        <w:rPr>
          <w:rFonts w:eastAsia="PMingLiU"/>
          <w:sz w:val="22"/>
          <w:szCs w:val="22"/>
          <w:lang w:eastAsia="zh-TW"/>
        </w:rPr>
      </w:pPr>
    </w:p>
    <w:p w14:paraId="2D823A2E" w14:textId="77777777" w:rsidR="00885C39" w:rsidRPr="00C5376C" w:rsidRDefault="00885C39" w:rsidP="00885C39">
      <w:pPr>
        <w:spacing w:after="0"/>
        <w:rPr>
          <w:sz w:val="22"/>
          <w:szCs w:val="22"/>
        </w:rPr>
      </w:pPr>
      <w:r w:rsidRPr="00C5376C">
        <w:rPr>
          <w:rFonts w:eastAsia="Aptos"/>
          <w:noProof/>
          <w:kern w:val="2"/>
          <w:sz w:val="22"/>
          <w:szCs w:val="22"/>
          <w:lang w:eastAsia="en-US"/>
          <w14:ligatures w14:val="standardContextual"/>
        </w:rPr>
        <w:drawing>
          <wp:anchor distT="0" distB="0" distL="114300" distR="114300" simplePos="0" relativeHeight="251659264" behindDoc="0" locked="0" layoutInCell="1" allowOverlap="1" wp14:anchorId="107C6A18" wp14:editId="0FFED252">
            <wp:simplePos x="0" y="0"/>
            <wp:positionH relativeFrom="margin">
              <wp:align>left</wp:align>
            </wp:positionH>
            <wp:positionV relativeFrom="paragraph">
              <wp:posOffset>0</wp:posOffset>
            </wp:positionV>
            <wp:extent cx="399415" cy="523875"/>
            <wp:effectExtent l="0" t="0" r="635" b="9525"/>
            <wp:wrapSquare wrapText="bothSides"/>
            <wp:docPr id="1308872149" name="Slika 1" descr="Slika na kojoj se prikazuje krug, simbol&#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10405" name="Slika 1" descr="Slika na kojoj se prikazuje krug, simbol&#10;&#10;Sadržaj generiran uz AI možda nije toč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415" cy="523875"/>
                    </a:xfrm>
                    <a:prstGeom prst="rect">
                      <a:avLst/>
                    </a:prstGeom>
                    <a:noFill/>
                  </pic:spPr>
                </pic:pic>
              </a:graphicData>
            </a:graphic>
            <wp14:sizeRelH relativeFrom="margin">
              <wp14:pctWidth>0</wp14:pctWidth>
            </wp14:sizeRelH>
            <wp14:sizeRelV relativeFrom="margin">
              <wp14:pctHeight>0</wp14:pctHeight>
            </wp14:sizeRelV>
          </wp:anchor>
        </w:drawing>
      </w:r>
      <w:r w:rsidRPr="00C5376C">
        <w:rPr>
          <w:sz w:val="22"/>
          <w:szCs w:val="22"/>
        </w:rPr>
        <w:t>REPUBLIKA HRVATSKA</w:t>
      </w:r>
    </w:p>
    <w:p w14:paraId="77FEBFC3" w14:textId="77777777" w:rsidR="00885C39" w:rsidRPr="00C5376C" w:rsidRDefault="00885C39" w:rsidP="00885C39">
      <w:pPr>
        <w:spacing w:after="0"/>
        <w:rPr>
          <w:sz w:val="22"/>
          <w:szCs w:val="22"/>
        </w:rPr>
      </w:pPr>
      <w:r w:rsidRPr="00C5376C">
        <w:rPr>
          <w:sz w:val="22"/>
          <w:szCs w:val="22"/>
        </w:rPr>
        <w:t>ZAGREBAČKA ŽUPANIJA</w:t>
      </w:r>
    </w:p>
    <w:p w14:paraId="030F9FDE" w14:textId="77777777" w:rsidR="00885C39" w:rsidRPr="00C5376C" w:rsidRDefault="00885C39" w:rsidP="00885C39">
      <w:pPr>
        <w:spacing w:after="0"/>
        <w:rPr>
          <w:sz w:val="22"/>
          <w:szCs w:val="22"/>
        </w:rPr>
      </w:pPr>
      <w:r w:rsidRPr="00C5376C">
        <w:rPr>
          <w:sz w:val="22"/>
          <w:szCs w:val="22"/>
        </w:rPr>
        <w:t>GRAD SVETA NEDELJA</w:t>
      </w:r>
    </w:p>
    <w:p w14:paraId="0974BD3A" w14:textId="77777777" w:rsidR="00885C39" w:rsidRPr="00C5376C" w:rsidRDefault="00885C39" w:rsidP="00885C39">
      <w:pPr>
        <w:rPr>
          <w:sz w:val="22"/>
          <w:szCs w:val="22"/>
        </w:rPr>
      </w:pPr>
    </w:p>
    <w:p w14:paraId="5E8C08AD" w14:textId="77777777" w:rsidR="00885C39" w:rsidRPr="00C5376C" w:rsidRDefault="00885C39" w:rsidP="00885C39">
      <w:pPr>
        <w:spacing w:after="0"/>
        <w:rPr>
          <w:b/>
          <w:bCs/>
          <w:sz w:val="22"/>
          <w:szCs w:val="22"/>
        </w:rPr>
      </w:pPr>
      <w:r w:rsidRPr="00C5376C">
        <w:rPr>
          <w:b/>
          <w:bCs/>
          <w:sz w:val="22"/>
          <w:szCs w:val="22"/>
        </w:rPr>
        <w:t>Upravni odjel za gospodarstvo, EU projekte,</w:t>
      </w:r>
    </w:p>
    <w:p w14:paraId="3D35C4EE" w14:textId="77777777" w:rsidR="00885C39" w:rsidRPr="00C5376C" w:rsidRDefault="00885C39" w:rsidP="00885C39">
      <w:pPr>
        <w:spacing w:after="0"/>
        <w:rPr>
          <w:b/>
          <w:bCs/>
          <w:sz w:val="22"/>
          <w:szCs w:val="22"/>
        </w:rPr>
      </w:pPr>
      <w:r w:rsidRPr="00C5376C">
        <w:rPr>
          <w:b/>
          <w:bCs/>
          <w:sz w:val="22"/>
          <w:szCs w:val="22"/>
        </w:rPr>
        <w:t>komunalne djelatnosti, prostorno uređenje</w:t>
      </w:r>
    </w:p>
    <w:p w14:paraId="52D0C530" w14:textId="77777777" w:rsidR="00885C39" w:rsidRPr="00C5376C" w:rsidRDefault="00885C39" w:rsidP="00885C39">
      <w:pPr>
        <w:spacing w:after="0" w:line="360" w:lineRule="auto"/>
        <w:rPr>
          <w:b/>
          <w:bCs/>
          <w:sz w:val="22"/>
          <w:szCs w:val="22"/>
        </w:rPr>
      </w:pPr>
      <w:r w:rsidRPr="00C5376C">
        <w:rPr>
          <w:b/>
          <w:bCs/>
          <w:sz w:val="22"/>
          <w:szCs w:val="22"/>
        </w:rPr>
        <w:t>i zaštitu okoliša i imovinsko-pravne poslove</w:t>
      </w:r>
    </w:p>
    <w:p w14:paraId="2E299D67" w14:textId="77777777" w:rsidR="00885C39" w:rsidRPr="00C5376C" w:rsidRDefault="00885C39" w:rsidP="00885C39">
      <w:pPr>
        <w:rPr>
          <w:sz w:val="22"/>
          <w:szCs w:val="22"/>
        </w:rPr>
      </w:pPr>
      <w:hyperlink r:id="rId8" w:history="1">
        <w:r w:rsidRPr="00C5376C">
          <w:rPr>
            <w:rStyle w:val="Hiperveza"/>
            <w:sz w:val="22"/>
            <w:szCs w:val="22"/>
          </w:rPr>
          <w:t>komunalno@grad-svetanedelja.hr</w:t>
        </w:r>
      </w:hyperlink>
      <w:r w:rsidRPr="00C5376C">
        <w:rPr>
          <w:sz w:val="22"/>
          <w:szCs w:val="22"/>
        </w:rPr>
        <w:t xml:space="preserve"> </w:t>
      </w:r>
    </w:p>
    <w:p w14:paraId="3EF9DFFB" w14:textId="77777777" w:rsidR="00885C39" w:rsidRPr="00C5376C" w:rsidRDefault="00885C39" w:rsidP="00885C39">
      <w:pPr>
        <w:ind w:left="1071" w:firstLine="357"/>
        <w:rPr>
          <w:sz w:val="22"/>
          <w:szCs w:val="22"/>
        </w:rPr>
      </w:pPr>
    </w:p>
    <w:p w14:paraId="00C54CCB" w14:textId="77777777" w:rsidR="00885C39" w:rsidRPr="00C5376C" w:rsidRDefault="00885C39" w:rsidP="00885C39">
      <w:pPr>
        <w:ind w:left="1071" w:firstLine="357"/>
        <w:rPr>
          <w:sz w:val="22"/>
          <w:szCs w:val="22"/>
        </w:rPr>
      </w:pPr>
    </w:p>
    <w:p w14:paraId="56A95F09" w14:textId="77777777" w:rsidR="00885C39" w:rsidRPr="00C5376C" w:rsidRDefault="00885C39" w:rsidP="00885C39">
      <w:pPr>
        <w:ind w:left="1071" w:firstLine="357"/>
        <w:rPr>
          <w:sz w:val="22"/>
          <w:szCs w:val="22"/>
        </w:rPr>
      </w:pPr>
    </w:p>
    <w:p w14:paraId="13127408" w14:textId="77777777" w:rsidR="00885C39" w:rsidRPr="00C5376C" w:rsidRDefault="00885C39" w:rsidP="00885C39">
      <w:pPr>
        <w:spacing w:line="278" w:lineRule="auto"/>
        <w:jc w:val="center"/>
        <w:rPr>
          <w:rFonts w:eastAsia="Aptos"/>
          <w:kern w:val="2"/>
          <w:sz w:val="22"/>
          <w:szCs w:val="22"/>
          <w:lang w:eastAsia="en-US"/>
          <w14:ligatures w14:val="standardContextual"/>
        </w:rPr>
      </w:pPr>
      <w:r w:rsidRPr="00C5376C">
        <w:rPr>
          <w:rFonts w:eastAsia="Aptos"/>
          <w:kern w:val="2"/>
          <w:sz w:val="22"/>
          <w:szCs w:val="22"/>
          <w:lang w:eastAsia="en-US"/>
          <w14:ligatures w14:val="standardContextual"/>
        </w:rPr>
        <w:t xml:space="preserve">JAVNI POZIV </w:t>
      </w:r>
    </w:p>
    <w:p w14:paraId="45FA1433" w14:textId="77777777" w:rsidR="00885C39" w:rsidRPr="00C5376C" w:rsidRDefault="00885C39" w:rsidP="00885C39">
      <w:pPr>
        <w:spacing w:after="0" w:line="278" w:lineRule="auto"/>
        <w:jc w:val="center"/>
        <w:rPr>
          <w:rFonts w:eastAsia="Aptos"/>
          <w:kern w:val="2"/>
          <w:sz w:val="22"/>
          <w:szCs w:val="22"/>
          <w:lang w:eastAsia="en-US"/>
          <w14:ligatures w14:val="standardContextual"/>
        </w:rPr>
      </w:pPr>
      <w:r w:rsidRPr="00C5376C">
        <w:rPr>
          <w:rFonts w:eastAsia="Aptos"/>
          <w:kern w:val="2"/>
          <w:sz w:val="22"/>
          <w:szCs w:val="22"/>
          <w:lang w:eastAsia="en-US"/>
          <w14:ligatures w14:val="standardContextual"/>
        </w:rPr>
        <w:t xml:space="preserve">za dodjelu potpora male vrijednosti u poljoprivredi </w:t>
      </w:r>
    </w:p>
    <w:p w14:paraId="25E5B255" w14:textId="18509FC4" w:rsidR="00885C39" w:rsidRPr="00C5376C" w:rsidRDefault="00885C39" w:rsidP="00885C39">
      <w:pPr>
        <w:spacing w:after="0" w:line="278" w:lineRule="auto"/>
        <w:jc w:val="center"/>
        <w:rPr>
          <w:rFonts w:eastAsia="Aptos"/>
          <w:kern w:val="2"/>
          <w:sz w:val="22"/>
          <w:szCs w:val="22"/>
          <w:lang w:eastAsia="en-US"/>
          <w14:ligatures w14:val="standardContextual"/>
        </w:rPr>
      </w:pPr>
      <w:r w:rsidRPr="00C5376C">
        <w:rPr>
          <w:rFonts w:eastAsia="Aptos"/>
          <w:kern w:val="2"/>
          <w:sz w:val="22"/>
          <w:szCs w:val="22"/>
          <w:lang w:eastAsia="en-US"/>
          <w14:ligatures w14:val="standardContextual"/>
        </w:rPr>
        <w:t>na području Grada Svete Nedelje za 202</w:t>
      </w:r>
      <w:r w:rsidR="00873979" w:rsidRPr="00C5376C">
        <w:rPr>
          <w:rFonts w:eastAsia="Aptos"/>
          <w:kern w:val="2"/>
          <w:sz w:val="22"/>
          <w:szCs w:val="22"/>
          <w:lang w:eastAsia="en-US"/>
          <w14:ligatures w14:val="standardContextual"/>
        </w:rPr>
        <w:t>6</w:t>
      </w:r>
      <w:r w:rsidRPr="00C5376C">
        <w:rPr>
          <w:rFonts w:eastAsia="Aptos"/>
          <w:kern w:val="2"/>
          <w:sz w:val="22"/>
          <w:szCs w:val="22"/>
          <w:lang w:eastAsia="en-US"/>
          <w14:ligatures w14:val="standardContextual"/>
        </w:rPr>
        <w:t>. godinu</w:t>
      </w:r>
    </w:p>
    <w:p w14:paraId="05750915" w14:textId="77777777" w:rsidR="00885C39" w:rsidRPr="00C5376C" w:rsidRDefault="00885C39" w:rsidP="00885C39">
      <w:pPr>
        <w:spacing w:after="0" w:line="278" w:lineRule="auto"/>
        <w:jc w:val="center"/>
        <w:rPr>
          <w:rFonts w:eastAsia="Aptos"/>
          <w:kern w:val="2"/>
          <w:sz w:val="22"/>
          <w:szCs w:val="22"/>
          <w:lang w:eastAsia="en-US"/>
          <w14:ligatures w14:val="standardContextual"/>
        </w:rPr>
      </w:pPr>
    </w:p>
    <w:p w14:paraId="32A5B711" w14:textId="77777777" w:rsidR="00885C39" w:rsidRPr="00C5376C" w:rsidRDefault="00885C39" w:rsidP="00885C39">
      <w:pPr>
        <w:spacing w:after="0" w:line="278" w:lineRule="auto"/>
        <w:jc w:val="center"/>
        <w:rPr>
          <w:rFonts w:eastAsia="Aptos"/>
          <w:kern w:val="2"/>
          <w:sz w:val="22"/>
          <w:szCs w:val="22"/>
          <w:lang w:eastAsia="en-US"/>
          <w14:ligatures w14:val="standardContextual"/>
        </w:rPr>
      </w:pPr>
    </w:p>
    <w:p w14:paraId="77F73D7E" w14:textId="77777777" w:rsidR="00885C39" w:rsidRPr="00C5376C" w:rsidRDefault="00885C39" w:rsidP="00885C39">
      <w:pPr>
        <w:spacing w:line="278" w:lineRule="auto"/>
        <w:jc w:val="center"/>
        <w:rPr>
          <w:rFonts w:eastAsia="Aptos"/>
          <w:kern w:val="2"/>
          <w:sz w:val="22"/>
          <w:szCs w:val="22"/>
          <w:lang w:eastAsia="en-US"/>
          <w14:ligatures w14:val="standardContextual"/>
        </w:rPr>
      </w:pPr>
      <w:r w:rsidRPr="00C5376C">
        <w:rPr>
          <w:rFonts w:eastAsia="Aptos"/>
          <w:sz w:val="22"/>
          <w:szCs w:val="22"/>
          <w:lang w:eastAsia="en-US"/>
        </w:rPr>
        <w:tab/>
      </w:r>
    </w:p>
    <w:tbl>
      <w:tblPr>
        <w:tblStyle w:val="Reetkatablice"/>
        <w:tblW w:w="0" w:type="auto"/>
        <w:tblInd w:w="0" w:type="dxa"/>
        <w:tblLook w:val="04A0" w:firstRow="1" w:lastRow="0" w:firstColumn="1" w:lastColumn="0" w:noHBand="0" w:noVBand="1"/>
      </w:tblPr>
      <w:tblGrid>
        <w:gridCol w:w="9016"/>
      </w:tblGrid>
      <w:tr w:rsidR="00885C39" w:rsidRPr="00C5376C" w14:paraId="426AA659" w14:textId="77777777" w:rsidTr="00885C39">
        <w:trPr>
          <w:trHeight w:val="686"/>
        </w:trPr>
        <w:tc>
          <w:tcPr>
            <w:tcW w:w="9016" w:type="dxa"/>
            <w:shd w:val="clear" w:color="auto" w:fill="3A7C22" w:themeFill="accent6" w:themeFillShade="BF"/>
            <w:vAlign w:val="center"/>
          </w:tcPr>
          <w:p w14:paraId="6D326C1E" w14:textId="7ED98DC1" w:rsidR="00885C39" w:rsidRPr="00C5376C" w:rsidRDefault="00885C39" w:rsidP="00885C39">
            <w:pPr>
              <w:spacing w:after="0"/>
              <w:jc w:val="center"/>
              <w:rPr>
                <w:rFonts w:eastAsia="Aptos"/>
                <w:sz w:val="22"/>
                <w:szCs w:val="22"/>
                <w:lang w:eastAsia="en-US"/>
              </w:rPr>
            </w:pPr>
            <w:r w:rsidRPr="00C5376C">
              <w:rPr>
                <w:rFonts w:eastAsia="Aptos"/>
                <w:b/>
                <w:bCs/>
                <w:color w:val="FFFFFF" w:themeColor="background1"/>
                <w:sz w:val="22"/>
                <w:szCs w:val="22"/>
                <w:lang w:eastAsia="en-US"/>
              </w:rPr>
              <w:t>IZJAVA</w:t>
            </w:r>
            <w:r w:rsidR="00873979" w:rsidRPr="00C5376C">
              <w:rPr>
                <w:rFonts w:eastAsia="Aptos"/>
                <w:b/>
                <w:bCs/>
                <w:color w:val="FFFFFF" w:themeColor="background1"/>
                <w:sz w:val="22"/>
                <w:szCs w:val="22"/>
                <w:lang w:eastAsia="en-US"/>
              </w:rPr>
              <w:t xml:space="preserve"> PRIJAVITELJA</w:t>
            </w:r>
          </w:p>
        </w:tc>
      </w:tr>
    </w:tbl>
    <w:p w14:paraId="78A51051" w14:textId="77777777" w:rsidR="00DC49CE" w:rsidRPr="00C5376C" w:rsidRDefault="00DC49CE">
      <w:pPr>
        <w:spacing w:after="160" w:line="259" w:lineRule="auto"/>
        <w:jc w:val="left"/>
        <w:rPr>
          <w:rFonts w:eastAsia="PMingLiU"/>
          <w:sz w:val="22"/>
          <w:szCs w:val="22"/>
          <w:lang w:eastAsia="zh-TW"/>
        </w:rPr>
      </w:pPr>
      <w:r w:rsidRPr="00C5376C">
        <w:rPr>
          <w:rFonts w:eastAsia="PMingLiU"/>
          <w:sz w:val="22"/>
          <w:szCs w:val="22"/>
          <w:lang w:eastAsia="zh-TW"/>
        </w:rPr>
        <w:br w:type="page"/>
      </w:r>
    </w:p>
    <w:p w14:paraId="5B4FB57D" w14:textId="1C5F6B89" w:rsidR="00235BDD" w:rsidRPr="00C5376C" w:rsidRDefault="00873979" w:rsidP="00873979">
      <w:pPr>
        <w:pStyle w:val="Bezproreda"/>
        <w:rPr>
          <w:rFonts w:eastAsia="PMingLiU"/>
          <w:b/>
          <w:bCs/>
          <w:sz w:val="22"/>
          <w:szCs w:val="22"/>
          <w:lang w:eastAsia="zh-TW"/>
        </w:rPr>
      </w:pPr>
      <w:r w:rsidRPr="00C5376C">
        <w:rPr>
          <w:rFonts w:eastAsia="PMingLiU"/>
          <w:b/>
          <w:bCs/>
          <w:sz w:val="22"/>
          <w:szCs w:val="22"/>
          <w:lang w:eastAsia="zh-TW"/>
        </w:rPr>
        <w:lastRenderedPageBreak/>
        <w:t xml:space="preserve">Ja </w:t>
      </w:r>
      <w:r w:rsidR="00A83418" w:rsidRPr="00C5376C">
        <w:rPr>
          <w:rFonts w:eastAsia="PMingLiU"/>
          <w:b/>
          <w:bCs/>
          <w:i/>
          <w:iCs/>
          <w:sz w:val="22"/>
          <w:szCs w:val="22"/>
          <w:u w:val="single"/>
          <w:lang w:eastAsia="zh-TW"/>
        </w:rPr>
        <w:t>__________________________________________________________</w:t>
      </w:r>
      <w:r w:rsidR="00235BDD" w:rsidRPr="00C5376C">
        <w:rPr>
          <w:rFonts w:eastAsia="PMingLiU"/>
          <w:b/>
          <w:bCs/>
          <w:i/>
          <w:iCs/>
          <w:sz w:val="22"/>
          <w:szCs w:val="22"/>
          <w:u w:val="single"/>
          <w:lang w:eastAsia="zh-TW"/>
        </w:rPr>
        <w:t>____________________</w:t>
      </w:r>
      <w:r w:rsidR="00A83418" w:rsidRPr="00C5376C">
        <w:rPr>
          <w:rFonts w:eastAsia="PMingLiU"/>
          <w:b/>
          <w:bCs/>
          <w:i/>
          <w:iCs/>
          <w:sz w:val="22"/>
          <w:szCs w:val="22"/>
          <w:u w:val="single"/>
          <w:lang w:eastAsia="zh-TW"/>
        </w:rPr>
        <w:t>_</w:t>
      </w:r>
      <w:r w:rsidRPr="00C5376C">
        <w:rPr>
          <w:rFonts w:eastAsia="PMingLiU"/>
          <w:b/>
          <w:bCs/>
          <w:sz w:val="22"/>
          <w:szCs w:val="22"/>
          <w:lang w:eastAsia="zh-TW"/>
        </w:rPr>
        <w:t xml:space="preserve">, </w:t>
      </w:r>
    </w:p>
    <w:p w14:paraId="3861A080" w14:textId="0256E9B0" w:rsidR="00A83418" w:rsidRPr="00C5376C" w:rsidRDefault="00A83418" w:rsidP="00235BDD">
      <w:pPr>
        <w:pStyle w:val="Bezproreda"/>
        <w:jc w:val="center"/>
        <w:rPr>
          <w:rFonts w:eastAsia="PMingLiU"/>
          <w:b/>
          <w:bCs/>
          <w:sz w:val="22"/>
          <w:szCs w:val="22"/>
          <w:lang w:eastAsia="zh-TW"/>
        </w:rPr>
      </w:pPr>
      <w:r w:rsidRPr="00C5376C">
        <w:rPr>
          <w:rFonts w:eastAsia="PMingLiU"/>
          <w:b/>
          <w:bCs/>
          <w:sz w:val="22"/>
          <w:szCs w:val="22"/>
          <w:lang w:eastAsia="zh-TW"/>
        </w:rPr>
        <w:t>(</w:t>
      </w:r>
      <w:r w:rsidRPr="00C5376C">
        <w:rPr>
          <w:rFonts w:eastAsia="PMingLiU"/>
          <w:b/>
          <w:bCs/>
          <w:i/>
          <w:iCs/>
          <w:sz w:val="22"/>
          <w:szCs w:val="22"/>
          <w:lang w:eastAsia="zh-TW"/>
        </w:rPr>
        <w:t>ime/naziv, OIB, adresa)</w:t>
      </w:r>
    </w:p>
    <w:p w14:paraId="741C65D0" w14:textId="77777777" w:rsidR="00235BDD" w:rsidRPr="00C5376C" w:rsidRDefault="00235BDD" w:rsidP="00873979">
      <w:pPr>
        <w:pStyle w:val="Bezproreda"/>
        <w:rPr>
          <w:rFonts w:eastAsia="PMingLiU"/>
          <w:b/>
          <w:bCs/>
          <w:sz w:val="22"/>
          <w:szCs w:val="22"/>
          <w:lang w:eastAsia="zh-TW"/>
        </w:rPr>
      </w:pPr>
    </w:p>
    <w:p w14:paraId="19F10685" w14:textId="13AD22CA" w:rsidR="001705BB" w:rsidRPr="00C5376C" w:rsidRDefault="00873979" w:rsidP="009F05E8">
      <w:pPr>
        <w:pStyle w:val="Bezproreda"/>
        <w:spacing w:line="276" w:lineRule="auto"/>
        <w:rPr>
          <w:rFonts w:eastAsia="PMingLiU"/>
          <w:b/>
          <w:bCs/>
          <w:sz w:val="22"/>
          <w:szCs w:val="22"/>
          <w:lang w:eastAsia="zh-TW"/>
        </w:rPr>
      </w:pPr>
      <w:r w:rsidRPr="00C5376C">
        <w:rPr>
          <w:rFonts w:eastAsia="PMingLiU"/>
          <w:b/>
          <w:bCs/>
          <w:sz w:val="22"/>
          <w:szCs w:val="22"/>
          <w:lang w:eastAsia="zh-TW"/>
        </w:rPr>
        <w:t>dolje potpisani, kao osoba ovlaštena za zastupanje prijavitelja, osobno i u ime prijavitelja potvrđujem da su podaci sadržani u zahtjevu za potporom u sklopu Javnog poziva za dodjelu potpora male vrijednosti u poljoprivredi na području Grada Svete Nedelje za 2026. godinu istiniti i točni.</w:t>
      </w:r>
    </w:p>
    <w:p w14:paraId="18F90083" w14:textId="77777777" w:rsidR="001705BB" w:rsidRPr="00C5376C" w:rsidRDefault="001705BB" w:rsidP="009F05E8">
      <w:pPr>
        <w:pStyle w:val="Bezproreda"/>
        <w:spacing w:line="276" w:lineRule="auto"/>
        <w:rPr>
          <w:rFonts w:eastAsia="PMingLiU"/>
          <w:sz w:val="22"/>
          <w:szCs w:val="22"/>
          <w:lang w:eastAsia="zh-TW"/>
        </w:rPr>
      </w:pPr>
    </w:p>
    <w:p w14:paraId="093D1428" w14:textId="5EE301D3" w:rsidR="00873979" w:rsidRPr="00C5376C" w:rsidRDefault="00873979" w:rsidP="009F05E8">
      <w:pPr>
        <w:pStyle w:val="Bezproreda"/>
        <w:spacing w:line="276" w:lineRule="auto"/>
        <w:rPr>
          <w:rFonts w:eastAsia="PMingLiU"/>
          <w:sz w:val="22"/>
          <w:szCs w:val="22"/>
          <w:lang w:eastAsia="zh-TW"/>
        </w:rPr>
      </w:pPr>
      <w:r w:rsidRPr="00C5376C">
        <w:rPr>
          <w:rFonts w:eastAsia="PMingLiU"/>
          <w:sz w:val="22"/>
          <w:szCs w:val="22"/>
          <w:lang w:eastAsia="zh-TW"/>
        </w:rPr>
        <w:t xml:space="preserve">Potpisom ove Izjave osobno i u ime prijavitelja potvrđujem da se prijavitelj ne nalazi niti u jednoj situaciji zbog koje se potpora ne može dodijeliti, a koje uključuju sljedeće: </w:t>
      </w:r>
    </w:p>
    <w:p w14:paraId="224A8647" w14:textId="56811C06" w:rsidR="00873979" w:rsidRPr="00C5376C" w:rsidRDefault="0083540C"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p</w:t>
      </w:r>
      <w:r w:rsidR="00873979" w:rsidRPr="00C5376C">
        <w:rPr>
          <w:rFonts w:eastAsia="PMingLiU"/>
          <w:sz w:val="22"/>
          <w:szCs w:val="22"/>
          <w:lang w:eastAsia="zh-TW"/>
        </w:rPr>
        <w:t>rijavitelj je znao ili morao znati da je u sukobu interesa u predmetnom javnom pozivu za dodjelu potpora</w:t>
      </w:r>
      <w:r w:rsidRPr="00C5376C">
        <w:rPr>
          <w:rFonts w:eastAsia="PMingLiU"/>
          <w:sz w:val="22"/>
          <w:szCs w:val="22"/>
          <w:lang w:eastAsia="zh-TW"/>
        </w:rPr>
        <w:t>;</w:t>
      </w:r>
    </w:p>
    <w:p w14:paraId="200E24F7" w14:textId="321CF503" w:rsidR="00873979" w:rsidRPr="00C5376C" w:rsidRDefault="0083540C"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p</w:t>
      </w:r>
      <w:r w:rsidR="00873979" w:rsidRPr="00C5376C">
        <w:rPr>
          <w:rFonts w:eastAsia="PMingLiU"/>
          <w:sz w:val="22"/>
          <w:szCs w:val="22"/>
          <w:lang w:eastAsia="zh-TW"/>
        </w:rPr>
        <w:t>rijavitelj je dobio državnu potporu ili potporu male vrijednosti za isti prihvatljiv trošak projekta</w:t>
      </w:r>
      <w:r w:rsidRPr="00C5376C">
        <w:rPr>
          <w:rFonts w:eastAsia="PMingLiU"/>
          <w:sz w:val="22"/>
          <w:szCs w:val="22"/>
          <w:lang w:eastAsia="zh-TW"/>
        </w:rPr>
        <w:t>;</w:t>
      </w:r>
    </w:p>
    <w:p w14:paraId="59ACE308" w14:textId="1BF03DF9" w:rsidR="00873979" w:rsidRPr="00C5376C" w:rsidRDefault="0083540C"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p</w:t>
      </w:r>
      <w:r w:rsidR="00873979" w:rsidRPr="00C5376C">
        <w:rPr>
          <w:rFonts w:eastAsia="PMingLiU"/>
          <w:sz w:val="22"/>
          <w:szCs w:val="22"/>
          <w:lang w:eastAsia="zh-TW"/>
        </w:rPr>
        <w:t>rijavitelj je dostavio lažne informacije u sklopu zahtjeva za potporom</w:t>
      </w:r>
      <w:r w:rsidRPr="00C5376C">
        <w:rPr>
          <w:rFonts w:eastAsia="PMingLiU"/>
          <w:sz w:val="22"/>
          <w:szCs w:val="22"/>
          <w:lang w:eastAsia="zh-TW"/>
        </w:rPr>
        <w:t>;</w:t>
      </w:r>
    </w:p>
    <w:p w14:paraId="588E98CD" w14:textId="6A8630AD" w:rsidR="00873979" w:rsidRPr="00C5376C" w:rsidRDefault="0083540C"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u</w:t>
      </w:r>
      <w:r w:rsidR="00873979" w:rsidRPr="00C5376C">
        <w:rPr>
          <w:rFonts w:eastAsia="PMingLiU"/>
          <w:sz w:val="22"/>
          <w:szCs w:val="22"/>
          <w:lang w:eastAsia="zh-TW"/>
        </w:rPr>
        <w:t xml:space="preserve"> slučaju kada je nad prijaviteljem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ili koji se nalazi u postupku koji su, prema propisima države njegova sjedišta ili </w:t>
      </w:r>
      <w:proofErr w:type="spellStart"/>
      <w:r w:rsidR="00873979" w:rsidRPr="00C5376C">
        <w:rPr>
          <w:rFonts w:eastAsia="PMingLiU"/>
          <w:sz w:val="22"/>
          <w:szCs w:val="22"/>
          <w:lang w:eastAsia="zh-TW"/>
        </w:rPr>
        <w:t>nastana</w:t>
      </w:r>
      <w:proofErr w:type="spellEnd"/>
      <w:r w:rsidR="00873979" w:rsidRPr="00C5376C">
        <w:rPr>
          <w:rFonts w:eastAsia="PMingLiU"/>
          <w:sz w:val="22"/>
          <w:szCs w:val="22"/>
          <w:lang w:eastAsia="zh-TW"/>
        </w:rPr>
        <w:t xml:space="preserve"> kojima se regulira pitanje </w:t>
      </w:r>
      <w:proofErr w:type="spellStart"/>
      <w:r w:rsidR="00873979" w:rsidRPr="00C5376C">
        <w:rPr>
          <w:rFonts w:eastAsia="PMingLiU"/>
          <w:sz w:val="22"/>
          <w:szCs w:val="22"/>
          <w:lang w:eastAsia="zh-TW"/>
        </w:rPr>
        <w:t>insolvencijskog</w:t>
      </w:r>
      <w:proofErr w:type="spellEnd"/>
      <w:r w:rsidR="00873979" w:rsidRPr="00C5376C">
        <w:rPr>
          <w:rFonts w:eastAsia="PMingLiU"/>
          <w:sz w:val="22"/>
          <w:szCs w:val="22"/>
          <w:lang w:eastAsia="zh-TW"/>
        </w:rPr>
        <w:t xml:space="preserve"> prava, slični svim prethodno navedenim postupcima</w:t>
      </w:r>
      <w:r w:rsidRPr="00C5376C">
        <w:rPr>
          <w:rFonts w:eastAsia="PMingLiU"/>
          <w:sz w:val="22"/>
          <w:szCs w:val="22"/>
          <w:lang w:eastAsia="zh-TW"/>
        </w:rPr>
        <w:t>;</w:t>
      </w:r>
    </w:p>
    <w:p w14:paraId="7188C3B7" w14:textId="436BF60F" w:rsidR="00873979" w:rsidRPr="00C5376C" w:rsidRDefault="0083540C"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a</w:t>
      </w:r>
      <w:r w:rsidR="00873979" w:rsidRPr="00C5376C">
        <w:rPr>
          <w:rFonts w:eastAsia="PMingLiU"/>
          <w:sz w:val="22"/>
          <w:szCs w:val="22"/>
          <w:lang w:eastAsia="zh-TW"/>
        </w:rPr>
        <w:t>ko je prijavitelj ili osoba ovlaštena po zakonu za zastupanje prijavitelja (osoba koja je član upravnog, upravljačkog ili nadzornog tijela ili ima ovlasti zastupanja, donošenja odluka ili nadzora toga gospodarskog subjekta) pravomoćno osuđena za bilo koje od sljedećih kaznenih djela odnosno za odgovarajuća kaznena djela prema propisima države sjedišta ili države čiji je državljanin osoba ovlaštena po zakonu za njihovo zastupanje:</w:t>
      </w:r>
    </w:p>
    <w:p w14:paraId="26C93C1E" w14:textId="001AEA6B"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sudjelovanje u zločinačkoj organizaciji, na temelju članka 328. (Zločinačko udruženje) i članka 329. (Počinjenje kaznenog djela u sastavu zločinačkog udruženja) iz Kaznenog zakona (NN 125/11, 144/12, 56/15, 61/15, 101/17, 118/18, 126/19, 84/21, 114/22, 114/23, 36/24, 136/25)</w:t>
      </w:r>
      <w:r w:rsidR="0083540C" w:rsidRPr="00C5376C">
        <w:rPr>
          <w:rFonts w:eastAsia="PMingLiU"/>
          <w:sz w:val="22"/>
          <w:szCs w:val="22"/>
          <w:lang w:eastAsia="zh-TW"/>
        </w:rPr>
        <w:t xml:space="preserve"> (dalje u tekstu: Kazneni zakon (NN 125/11 i dr.))</w:t>
      </w:r>
      <w:r w:rsidRPr="00C5376C">
        <w:rPr>
          <w:rFonts w:eastAsia="PMingLiU"/>
          <w:sz w:val="22"/>
          <w:szCs w:val="22"/>
          <w:lang w:eastAsia="zh-TW"/>
        </w:rPr>
        <w:t>, članka 333. (Udruživanje za počinjenje kaznenih djela) iz Kaznenog zakona (NN 110/97, 27/98, 50/00, 129/00, 51/01, 111/03, 190/03, 105/04, 84/05, 71/06, 110/07, 152/08, 57/11, 77/11, 143/12)</w:t>
      </w:r>
      <w:r w:rsidR="0083540C" w:rsidRPr="00C5376C">
        <w:rPr>
          <w:rFonts w:eastAsia="PMingLiU"/>
          <w:sz w:val="22"/>
          <w:szCs w:val="22"/>
          <w:lang w:eastAsia="zh-TW"/>
        </w:rPr>
        <w:t xml:space="preserve"> (dalje u tekstu: Kazneni zakon (NN 110/97 i dr.))</w:t>
      </w:r>
      <w:r w:rsidRPr="00C5376C">
        <w:rPr>
          <w:rFonts w:eastAsia="PMingLiU"/>
          <w:sz w:val="22"/>
          <w:szCs w:val="22"/>
          <w:lang w:eastAsia="zh-TW"/>
        </w:rPr>
        <w:t xml:space="preserve">; </w:t>
      </w:r>
    </w:p>
    <w:p w14:paraId="11140F76" w14:textId="41BE375D"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terorizam ili kaznena djela povezana s terorističkim aktivnostima, na temelju članka 97. (Terorizam), članka 99. (Javno poticanje na terorizam), članka 100. (Novačenje za terorizam), članka 101. (Obuka za terorizam), članka 101.a (Putovanje u svrhu terorizma) i članka 102. (Terorističko udruženje) Kaznenog zakona (NN 125/11</w:t>
      </w:r>
      <w:r w:rsidR="0083540C" w:rsidRPr="00C5376C">
        <w:rPr>
          <w:rFonts w:eastAsia="PMingLiU"/>
          <w:sz w:val="22"/>
          <w:szCs w:val="22"/>
          <w:lang w:eastAsia="zh-TW"/>
        </w:rPr>
        <w:t xml:space="preserve"> i dr.</w:t>
      </w:r>
      <w:r w:rsidRPr="00C5376C">
        <w:rPr>
          <w:rFonts w:eastAsia="PMingLiU"/>
          <w:sz w:val="22"/>
          <w:szCs w:val="22"/>
          <w:lang w:eastAsia="zh-TW"/>
        </w:rPr>
        <w:t>) i članka 169. (Terorizam), članka 169.a (Javno poticanje na terorizam) i članka 169.b (Novačenje i obuka za terorizam) iz Kaznenog zakona (NN 110/97</w:t>
      </w:r>
      <w:r w:rsidR="0083540C" w:rsidRPr="00C5376C">
        <w:rPr>
          <w:rFonts w:eastAsia="PMingLiU"/>
          <w:sz w:val="22"/>
          <w:szCs w:val="22"/>
          <w:lang w:eastAsia="zh-TW"/>
        </w:rPr>
        <w:t xml:space="preserve"> i dr.</w:t>
      </w:r>
      <w:r w:rsidRPr="00C5376C">
        <w:rPr>
          <w:rFonts w:eastAsia="PMingLiU"/>
          <w:sz w:val="22"/>
          <w:szCs w:val="22"/>
          <w:lang w:eastAsia="zh-TW"/>
        </w:rPr>
        <w:t xml:space="preserve">); </w:t>
      </w:r>
    </w:p>
    <w:p w14:paraId="49A1DD0F" w14:textId="474AEE44"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pranje novca ili financiranje terorizma, na temelju članka 98. (Financiranje terorizma) i članka 265. (Pranje novca) Kaznenog zakona (NN 125/11</w:t>
      </w:r>
      <w:r w:rsidR="0083540C" w:rsidRPr="00C5376C">
        <w:rPr>
          <w:rFonts w:eastAsia="PMingLiU"/>
          <w:sz w:val="22"/>
          <w:szCs w:val="22"/>
          <w:lang w:eastAsia="zh-TW"/>
        </w:rPr>
        <w:t xml:space="preserve"> i dr.</w:t>
      </w:r>
      <w:r w:rsidRPr="00C5376C">
        <w:rPr>
          <w:rFonts w:eastAsia="PMingLiU"/>
          <w:sz w:val="22"/>
          <w:szCs w:val="22"/>
          <w:lang w:eastAsia="zh-TW"/>
        </w:rPr>
        <w:t>) i članka 279. (Pranje novca) iz Kaznenog zakona (NN 110/97</w:t>
      </w:r>
      <w:r w:rsidR="0083540C" w:rsidRPr="00C5376C">
        <w:rPr>
          <w:rFonts w:eastAsia="PMingLiU"/>
          <w:sz w:val="22"/>
          <w:szCs w:val="22"/>
          <w:lang w:eastAsia="zh-TW"/>
        </w:rPr>
        <w:t xml:space="preserve"> i dr.</w:t>
      </w:r>
      <w:r w:rsidRPr="00C5376C">
        <w:rPr>
          <w:rFonts w:eastAsia="PMingLiU"/>
          <w:sz w:val="22"/>
          <w:szCs w:val="22"/>
          <w:lang w:eastAsia="zh-TW"/>
        </w:rPr>
        <w:t xml:space="preserve">); </w:t>
      </w:r>
    </w:p>
    <w:p w14:paraId="61AA7551" w14:textId="794AE0CB"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dječji rad ili druge oblike trgovanja ljudima, na temelju članka 106. (Trgovanje ljudima) Kaznenog zakona (NN 125/11</w:t>
      </w:r>
      <w:r w:rsidR="0083540C" w:rsidRPr="00C5376C">
        <w:rPr>
          <w:rFonts w:eastAsia="PMingLiU"/>
          <w:sz w:val="22"/>
          <w:szCs w:val="22"/>
          <w:lang w:eastAsia="zh-TW"/>
        </w:rPr>
        <w:t xml:space="preserve"> i dr.</w:t>
      </w:r>
      <w:r w:rsidRPr="00C5376C">
        <w:rPr>
          <w:rFonts w:eastAsia="PMingLiU"/>
          <w:sz w:val="22"/>
          <w:szCs w:val="22"/>
          <w:lang w:eastAsia="zh-TW"/>
        </w:rPr>
        <w:t>) i članka 175. (Trgovanje ljudima i ropstvo) iz Kaznenog zakona (NN 110/97</w:t>
      </w:r>
      <w:r w:rsidR="0083540C" w:rsidRPr="00C5376C">
        <w:rPr>
          <w:rFonts w:eastAsia="PMingLiU"/>
          <w:sz w:val="22"/>
          <w:szCs w:val="22"/>
          <w:lang w:eastAsia="zh-TW"/>
        </w:rPr>
        <w:t xml:space="preserve"> i dr.</w:t>
      </w:r>
      <w:r w:rsidRPr="00C5376C">
        <w:rPr>
          <w:rFonts w:eastAsia="PMingLiU"/>
          <w:sz w:val="22"/>
          <w:szCs w:val="22"/>
          <w:lang w:eastAsia="zh-TW"/>
        </w:rPr>
        <w:t xml:space="preserve">); </w:t>
      </w:r>
    </w:p>
    <w:p w14:paraId="6363A1B4" w14:textId="098F3528"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 xml:space="preserve">korupciju, na temelju članka 252. (Primanje mita u gospodarskom poslovanju), članka 253. (Davanje mita u gospodarskom poslovanju), članka 254. (Zlouporaba u postupku javne nabave), članka 291. (Zlouporaba položaja i ovlasti), članka 292. (Nezakonito </w:t>
      </w:r>
      <w:r w:rsidRPr="00C5376C">
        <w:rPr>
          <w:rFonts w:eastAsia="PMingLiU"/>
          <w:sz w:val="22"/>
          <w:szCs w:val="22"/>
          <w:lang w:eastAsia="zh-TW"/>
        </w:rPr>
        <w:lastRenderedPageBreak/>
        <w:t>pogodovanje), članka 293. (Primanje mita), članka 294. (Davanje mita), članka 295. (Trgovanje utjecajem) i članka 296. (Davanje mita za trgovanje utjecajem) Kaznenog zakona (NN 125/11</w:t>
      </w:r>
      <w:r w:rsidR="0083540C" w:rsidRPr="00C5376C">
        <w:rPr>
          <w:rFonts w:eastAsia="PMingLiU"/>
          <w:sz w:val="22"/>
          <w:szCs w:val="22"/>
          <w:lang w:eastAsia="zh-TW"/>
        </w:rPr>
        <w:t xml:space="preserve"> i dr.</w:t>
      </w:r>
      <w:r w:rsidRPr="00C5376C">
        <w:rPr>
          <w:rFonts w:eastAsia="PMingLiU"/>
          <w:sz w:val="22"/>
          <w:szCs w:val="22"/>
          <w:lang w:eastAsia="zh-TW"/>
        </w:rPr>
        <w:t>) i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(NN 110/97</w:t>
      </w:r>
      <w:r w:rsidR="0083540C" w:rsidRPr="00C5376C">
        <w:rPr>
          <w:rFonts w:eastAsia="PMingLiU"/>
          <w:sz w:val="22"/>
          <w:szCs w:val="22"/>
          <w:lang w:eastAsia="zh-TW"/>
        </w:rPr>
        <w:t xml:space="preserve"> i</w:t>
      </w:r>
      <w:r w:rsidR="008F1FC8" w:rsidRPr="00C5376C">
        <w:rPr>
          <w:rFonts w:eastAsia="PMingLiU"/>
          <w:sz w:val="22"/>
          <w:szCs w:val="22"/>
          <w:lang w:eastAsia="zh-TW"/>
        </w:rPr>
        <w:t xml:space="preserve"> </w:t>
      </w:r>
      <w:r w:rsidR="0083540C" w:rsidRPr="00C5376C">
        <w:rPr>
          <w:rFonts w:eastAsia="PMingLiU"/>
          <w:sz w:val="22"/>
          <w:szCs w:val="22"/>
          <w:lang w:eastAsia="zh-TW"/>
        </w:rPr>
        <w:t>dr</w:t>
      </w:r>
      <w:r w:rsidR="008F1FC8" w:rsidRPr="00C5376C">
        <w:rPr>
          <w:rFonts w:eastAsia="PMingLiU"/>
          <w:sz w:val="22"/>
          <w:szCs w:val="22"/>
          <w:lang w:eastAsia="zh-TW"/>
        </w:rPr>
        <w:t>.</w:t>
      </w:r>
      <w:r w:rsidRPr="00C5376C">
        <w:rPr>
          <w:rFonts w:eastAsia="PMingLiU"/>
          <w:sz w:val="22"/>
          <w:szCs w:val="22"/>
          <w:lang w:eastAsia="zh-TW"/>
        </w:rPr>
        <w:t xml:space="preserve">); </w:t>
      </w:r>
    </w:p>
    <w:p w14:paraId="003F6B35" w14:textId="54C4D003" w:rsidR="00873979" w:rsidRPr="00C5376C" w:rsidRDefault="00873979" w:rsidP="009F05E8">
      <w:pPr>
        <w:pStyle w:val="Bezproreda"/>
        <w:numPr>
          <w:ilvl w:val="1"/>
          <w:numId w:val="2"/>
        </w:numPr>
        <w:spacing w:line="276" w:lineRule="auto"/>
        <w:rPr>
          <w:rFonts w:eastAsia="PMingLiU"/>
          <w:sz w:val="22"/>
          <w:szCs w:val="22"/>
          <w:lang w:eastAsia="zh-TW"/>
        </w:rPr>
      </w:pPr>
      <w:r w:rsidRPr="00C5376C">
        <w:rPr>
          <w:rFonts w:eastAsia="PMingLiU"/>
          <w:sz w:val="22"/>
          <w:szCs w:val="22"/>
          <w:lang w:eastAsia="zh-TW"/>
        </w:rPr>
        <w:t>prijevaru, na temelju članka 236. (Prijevara), članka 247. (Prijevara u gospodarskom poslovanju), članka 256. (Utaja poreza ili carine) i članka 258. (Subvencijska prijevara) Kaznenog zakona (NN 125/11</w:t>
      </w:r>
      <w:r w:rsidR="008F1FC8" w:rsidRPr="00C5376C">
        <w:rPr>
          <w:rFonts w:eastAsia="PMingLiU"/>
          <w:sz w:val="22"/>
          <w:szCs w:val="22"/>
          <w:lang w:eastAsia="zh-TW"/>
        </w:rPr>
        <w:t xml:space="preserve"> i dr.</w:t>
      </w:r>
      <w:r w:rsidRPr="00C5376C">
        <w:rPr>
          <w:rFonts w:eastAsia="PMingLiU"/>
          <w:sz w:val="22"/>
          <w:szCs w:val="22"/>
          <w:lang w:eastAsia="zh-TW"/>
        </w:rPr>
        <w:t>) i članka 224. (Prijevara), članka 293. (Prijevara u gospodarskom poslovanju) i članka 286. (Utaja poreza i drugih davanja) iz Kaznenog zakona (NN 110/97</w:t>
      </w:r>
      <w:r w:rsidR="008F1FC8" w:rsidRPr="00C5376C">
        <w:rPr>
          <w:rFonts w:eastAsia="PMingLiU"/>
          <w:sz w:val="22"/>
          <w:szCs w:val="22"/>
          <w:lang w:eastAsia="zh-TW"/>
        </w:rPr>
        <w:t xml:space="preserve"> i dr.</w:t>
      </w:r>
      <w:r w:rsidRPr="00C5376C">
        <w:rPr>
          <w:rFonts w:eastAsia="PMingLiU"/>
          <w:sz w:val="22"/>
          <w:szCs w:val="22"/>
          <w:lang w:eastAsia="zh-TW"/>
        </w:rPr>
        <w:t xml:space="preserve">); </w:t>
      </w:r>
    </w:p>
    <w:p w14:paraId="1C008A8D" w14:textId="6BBAF51B" w:rsidR="00873979" w:rsidRPr="00C5376C" w:rsidRDefault="008F1FC8"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p</w:t>
      </w:r>
      <w:r w:rsidR="00873979" w:rsidRPr="00C5376C">
        <w:rPr>
          <w:rFonts w:eastAsia="PMingLiU"/>
          <w:sz w:val="22"/>
          <w:szCs w:val="22"/>
          <w:lang w:eastAsia="zh-TW"/>
        </w:rPr>
        <w:t>rijavitelju je utvrđeno teško kršenje ugovora zbog neispunjavanja ugovornih obveza, a koji je bio potpisan u sklopu nekog drugog zahtjeva za potporom/postupka dodjele bespovratnih sredstava i bio je (su)financiran sredstvima EU, odnosno sredstvima Grada</w:t>
      </w:r>
      <w:r w:rsidRPr="00C5376C">
        <w:rPr>
          <w:rFonts w:eastAsia="PMingLiU"/>
          <w:sz w:val="22"/>
          <w:szCs w:val="22"/>
          <w:lang w:eastAsia="zh-TW"/>
        </w:rPr>
        <w:t>;</w:t>
      </w:r>
    </w:p>
    <w:p w14:paraId="527A691E" w14:textId="5FDA3C06" w:rsidR="00873979" w:rsidRPr="00C5376C" w:rsidRDefault="008F1FC8" w:rsidP="009F05E8">
      <w:pPr>
        <w:pStyle w:val="Bezproreda"/>
        <w:numPr>
          <w:ilvl w:val="0"/>
          <w:numId w:val="2"/>
        </w:numPr>
        <w:spacing w:line="276" w:lineRule="auto"/>
        <w:rPr>
          <w:rFonts w:eastAsia="PMingLiU"/>
          <w:sz w:val="22"/>
          <w:szCs w:val="22"/>
          <w:lang w:eastAsia="zh-TW"/>
        </w:rPr>
      </w:pPr>
      <w:r w:rsidRPr="00C5376C">
        <w:rPr>
          <w:rFonts w:eastAsia="PMingLiU"/>
          <w:sz w:val="22"/>
          <w:szCs w:val="22"/>
          <w:lang w:eastAsia="zh-TW"/>
        </w:rPr>
        <w:t>u</w:t>
      </w:r>
      <w:r w:rsidR="00873979" w:rsidRPr="00C5376C">
        <w:rPr>
          <w:rFonts w:eastAsia="PMingLiU"/>
          <w:sz w:val="22"/>
          <w:szCs w:val="22"/>
          <w:lang w:eastAsia="zh-TW"/>
        </w:rPr>
        <w:t xml:space="preserve"> slučaju da je prijavitelj ili osobe ovlaštene po zakonu za zastupanje proglašen krivim zbog teškog profesionalnog propusta osim ako prijavitelj nije dostavio dokaz o mjerama koje su poduzete kako bi se dokazala pouzdanost i mogućnost provedbe projekta i izvršenja ugovora  Mjere su: 1. plaćanje naknade štete prouzročene propustom, ili poduzimanje drugih odgovarajućih mjera u tom cilju, 2. aktivna suradnja s nadležnim istražnim tijelima u svrhu razjašnjenja okolnosti i činjenica u vezi s propustom, 3. odgovarajuće tehničke, organizacijske i kadrovske mjere radi sprječavanja daljnjih propusta).</w:t>
      </w:r>
    </w:p>
    <w:p w14:paraId="7B72757A" w14:textId="77777777" w:rsidR="00873979" w:rsidRPr="00C5376C" w:rsidRDefault="00873979" w:rsidP="001705BB">
      <w:pPr>
        <w:pStyle w:val="Bezproreda"/>
        <w:rPr>
          <w:rFonts w:eastAsia="PMingLiU"/>
          <w:sz w:val="22"/>
          <w:szCs w:val="22"/>
          <w:lang w:eastAsia="zh-TW"/>
        </w:rPr>
      </w:pPr>
    </w:p>
    <w:p w14:paraId="6FD631EA" w14:textId="7E85EF1F" w:rsidR="00C7196B" w:rsidRPr="00C5376C" w:rsidRDefault="00873979" w:rsidP="00873979">
      <w:pPr>
        <w:spacing w:after="120"/>
        <w:rPr>
          <w:rFonts w:eastAsia="PMingLiU"/>
          <w:b/>
          <w:bCs/>
          <w:sz w:val="22"/>
          <w:szCs w:val="22"/>
          <w:lang w:eastAsia="zh-TW"/>
        </w:rPr>
      </w:pPr>
      <w:r w:rsidRPr="00C5376C">
        <w:rPr>
          <w:b/>
          <w:bCs/>
          <w:sz w:val="22"/>
          <w:szCs w:val="22"/>
        </w:rPr>
        <w:t>Ovu izjavu dajem pod materijalnom i kaznenom odgovornošću te u svoje ime i u ime prijavitelja potvrđujem da sam kao prijavitelj/stvarni vlasnik i kao osoba ovlaštena za zastupanje prijavitelja svjestan i razumijem da će se u slučaju davanja neistinitih, netočnih ili lažnih izjava, podataka, informacija ili dokumentacije primijeniti odgovarajuće mjere.</w:t>
      </w:r>
    </w:p>
    <w:tbl>
      <w:tblPr>
        <w:tblStyle w:val="Reetkatablice"/>
        <w:tblpPr w:leftFromText="180" w:rightFromText="180" w:vertAnchor="text" w:horzAnchor="page" w:tblpX="3391" w:tblpY="366"/>
        <w:tblW w:w="2405" w:type="dxa"/>
        <w:tblInd w:w="0" w:type="dxa"/>
        <w:tblLook w:val="04A0" w:firstRow="1" w:lastRow="0" w:firstColumn="1" w:lastColumn="0" w:noHBand="0" w:noVBand="1"/>
      </w:tblPr>
      <w:tblGrid>
        <w:gridCol w:w="2405"/>
      </w:tblGrid>
      <w:tr w:rsidR="00852ADC" w:rsidRPr="00C5376C" w14:paraId="5ABC7188" w14:textId="77777777" w:rsidTr="00C7196B">
        <w:trPr>
          <w:trHeight w:val="532"/>
        </w:trPr>
        <w:tc>
          <w:tcPr>
            <w:tcW w:w="2405" w:type="dxa"/>
            <w:vAlign w:val="center"/>
          </w:tcPr>
          <w:p w14:paraId="6CF05366" w14:textId="77777777" w:rsidR="00852ADC" w:rsidRPr="00C5376C" w:rsidRDefault="00852ADC" w:rsidP="00C7196B">
            <w:pPr>
              <w:rPr>
                <w:sz w:val="22"/>
                <w:szCs w:val="22"/>
              </w:rPr>
            </w:pPr>
          </w:p>
        </w:tc>
      </w:tr>
    </w:tbl>
    <w:p w14:paraId="0A5C4374" w14:textId="77777777" w:rsidR="00852ADC" w:rsidRPr="00C5376C" w:rsidRDefault="00852ADC" w:rsidP="00852ADC">
      <w:pPr>
        <w:rPr>
          <w:sz w:val="22"/>
          <w:szCs w:val="22"/>
        </w:rPr>
      </w:pPr>
    </w:p>
    <w:p w14:paraId="4F3800D8" w14:textId="77777777" w:rsidR="00C7196B" w:rsidRPr="00C5376C" w:rsidRDefault="00852ADC" w:rsidP="00C7196B">
      <w:pPr>
        <w:rPr>
          <w:sz w:val="22"/>
          <w:szCs w:val="22"/>
        </w:rPr>
      </w:pPr>
      <w:r w:rsidRPr="00C5376C">
        <w:rPr>
          <w:sz w:val="22"/>
          <w:szCs w:val="22"/>
        </w:rPr>
        <w:t xml:space="preserve">U Svetoj Nedelji,    </w:t>
      </w:r>
      <w:r w:rsidRPr="00C5376C">
        <w:rPr>
          <w:i/>
          <w:iCs/>
          <w:sz w:val="22"/>
          <w:szCs w:val="22"/>
        </w:rPr>
        <w:t>(datum)</w:t>
      </w:r>
      <w:r w:rsidRPr="00C5376C">
        <w:rPr>
          <w:sz w:val="22"/>
          <w:szCs w:val="22"/>
        </w:rPr>
        <w:t xml:space="preserve">     </w:t>
      </w:r>
    </w:p>
    <w:p w14:paraId="4F44CFDA" w14:textId="49EE1F6A" w:rsidR="00852ADC" w:rsidRPr="00C5376C" w:rsidRDefault="00852ADC" w:rsidP="00C7196B">
      <w:pPr>
        <w:rPr>
          <w:sz w:val="22"/>
          <w:szCs w:val="22"/>
        </w:rPr>
      </w:pPr>
      <w:r w:rsidRPr="00C5376C">
        <w:rPr>
          <w:sz w:val="22"/>
          <w:szCs w:val="22"/>
        </w:rPr>
        <w:t xml:space="preserve">  </w:t>
      </w:r>
    </w:p>
    <w:tbl>
      <w:tblPr>
        <w:tblStyle w:val="Reetkatablice"/>
        <w:tblpPr w:leftFromText="180" w:rightFromText="180" w:vertAnchor="text" w:horzAnchor="margin" w:tblpXSpec="right" w:tblpY="-18"/>
        <w:tblW w:w="4117" w:type="dxa"/>
        <w:tblInd w:w="0" w:type="dxa"/>
        <w:tblLook w:val="04A0" w:firstRow="1" w:lastRow="0" w:firstColumn="1" w:lastColumn="0" w:noHBand="0" w:noVBand="1"/>
      </w:tblPr>
      <w:tblGrid>
        <w:gridCol w:w="4117"/>
      </w:tblGrid>
      <w:tr w:rsidR="00852ADC" w:rsidRPr="00C5376C" w14:paraId="3A1A6151" w14:textId="77777777" w:rsidTr="005F45AF">
        <w:trPr>
          <w:trHeight w:val="532"/>
        </w:trPr>
        <w:tc>
          <w:tcPr>
            <w:tcW w:w="4117" w:type="dxa"/>
            <w:vAlign w:val="center"/>
          </w:tcPr>
          <w:p w14:paraId="1DE6CB85" w14:textId="77777777" w:rsidR="00852ADC" w:rsidRPr="00C5376C" w:rsidRDefault="00852ADC" w:rsidP="005F45AF">
            <w:pPr>
              <w:rPr>
                <w:sz w:val="22"/>
                <w:szCs w:val="22"/>
              </w:rPr>
            </w:pPr>
          </w:p>
        </w:tc>
      </w:tr>
    </w:tbl>
    <w:p w14:paraId="2062507F" w14:textId="77777777" w:rsidR="00852ADC" w:rsidRPr="00C5376C" w:rsidRDefault="00852ADC" w:rsidP="00852ADC">
      <w:pPr>
        <w:rPr>
          <w:i/>
          <w:iCs/>
          <w:sz w:val="22"/>
          <w:szCs w:val="22"/>
        </w:rPr>
      </w:pPr>
    </w:p>
    <w:p w14:paraId="76B6E8FB" w14:textId="77777777" w:rsidR="00852ADC" w:rsidRPr="00C5376C" w:rsidRDefault="00852ADC" w:rsidP="00852ADC">
      <w:pPr>
        <w:rPr>
          <w:i/>
          <w:iCs/>
          <w:sz w:val="22"/>
          <w:szCs w:val="22"/>
        </w:rPr>
      </w:pPr>
    </w:p>
    <w:p w14:paraId="6214E502" w14:textId="77777777" w:rsidR="00852ADC" w:rsidRPr="00C5376C" w:rsidRDefault="00852ADC" w:rsidP="00852ADC">
      <w:pPr>
        <w:ind w:left="4998" w:firstLine="357"/>
        <w:rPr>
          <w:i/>
          <w:iCs/>
          <w:sz w:val="22"/>
          <w:szCs w:val="22"/>
        </w:rPr>
      </w:pPr>
      <w:r w:rsidRPr="00C5376C">
        <w:rPr>
          <w:i/>
          <w:iCs/>
          <w:sz w:val="22"/>
          <w:szCs w:val="22"/>
        </w:rPr>
        <w:t>(Ime i prezime podnositelja Zahtjeva)</w:t>
      </w:r>
    </w:p>
    <w:tbl>
      <w:tblPr>
        <w:tblStyle w:val="Reetkatablice"/>
        <w:tblpPr w:leftFromText="180" w:rightFromText="180" w:vertAnchor="text" w:horzAnchor="margin" w:tblpXSpec="right" w:tblpY="262"/>
        <w:tblW w:w="4117" w:type="dxa"/>
        <w:tblInd w:w="0" w:type="dxa"/>
        <w:tblLook w:val="04A0" w:firstRow="1" w:lastRow="0" w:firstColumn="1" w:lastColumn="0" w:noHBand="0" w:noVBand="1"/>
      </w:tblPr>
      <w:tblGrid>
        <w:gridCol w:w="4117"/>
      </w:tblGrid>
      <w:tr w:rsidR="00852ADC" w:rsidRPr="00C5376C" w14:paraId="32196CE5" w14:textId="77777777" w:rsidTr="005F45AF">
        <w:trPr>
          <w:trHeight w:val="532"/>
        </w:trPr>
        <w:tc>
          <w:tcPr>
            <w:tcW w:w="4117" w:type="dxa"/>
            <w:vAlign w:val="center"/>
          </w:tcPr>
          <w:p w14:paraId="56A2796F" w14:textId="77777777" w:rsidR="00852ADC" w:rsidRPr="00C5376C" w:rsidRDefault="00852ADC" w:rsidP="005F45AF">
            <w:pPr>
              <w:rPr>
                <w:sz w:val="22"/>
                <w:szCs w:val="22"/>
              </w:rPr>
            </w:pPr>
          </w:p>
        </w:tc>
      </w:tr>
    </w:tbl>
    <w:p w14:paraId="1473514E" w14:textId="77777777" w:rsidR="00852ADC" w:rsidRPr="00C5376C" w:rsidRDefault="00852ADC" w:rsidP="00852ADC">
      <w:pPr>
        <w:ind w:left="6069" w:firstLine="357"/>
        <w:rPr>
          <w:sz w:val="22"/>
          <w:szCs w:val="22"/>
        </w:rPr>
      </w:pPr>
    </w:p>
    <w:p w14:paraId="2702D516" w14:textId="77777777" w:rsidR="00852ADC" w:rsidRPr="00C5376C" w:rsidRDefault="00852ADC" w:rsidP="00852ADC">
      <w:pPr>
        <w:ind w:left="6069" w:firstLine="357"/>
        <w:rPr>
          <w:sz w:val="22"/>
          <w:szCs w:val="22"/>
        </w:rPr>
      </w:pPr>
    </w:p>
    <w:p w14:paraId="32B565DD" w14:textId="77777777" w:rsidR="00852ADC" w:rsidRPr="00C5376C" w:rsidRDefault="00852ADC" w:rsidP="00852ADC">
      <w:pPr>
        <w:ind w:left="6069" w:firstLine="357"/>
        <w:rPr>
          <w:i/>
          <w:iCs/>
          <w:sz w:val="22"/>
          <w:szCs w:val="22"/>
        </w:rPr>
      </w:pPr>
      <w:r w:rsidRPr="00C5376C">
        <w:rPr>
          <w:i/>
          <w:iCs/>
          <w:sz w:val="22"/>
          <w:szCs w:val="22"/>
        </w:rPr>
        <w:t>Potpis (i pečat)</w:t>
      </w:r>
    </w:p>
    <w:p w14:paraId="39AC7A5F" w14:textId="77777777" w:rsidR="00D94118" w:rsidRPr="00C5376C" w:rsidRDefault="00D94118">
      <w:pPr>
        <w:rPr>
          <w:sz w:val="22"/>
          <w:szCs w:val="22"/>
        </w:rPr>
      </w:pPr>
    </w:p>
    <w:sectPr w:rsidR="00D94118" w:rsidRPr="00C5376C" w:rsidSect="00862DB1">
      <w:footerReference w:type="defaul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3E15" w14:textId="77777777" w:rsidR="00982238" w:rsidRDefault="00982238" w:rsidP="006E3113">
      <w:pPr>
        <w:spacing w:after="0" w:line="240" w:lineRule="auto"/>
      </w:pPr>
      <w:r>
        <w:separator/>
      </w:r>
    </w:p>
  </w:endnote>
  <w:endnote w:type="continuationSeparator" w:id="0">
    <w:p w14:paraId="6E23522A" w14:textId="77777777" w:rsidR="00982238" w:rsidRDefault="00982238" w:rsidP="006E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510939"/>
      <w:docPartObj>
        <w:docPartGallery w:val="Page Numbers (Bottom of Page)"/>
        <w:docPartUnique/>
      </w:docPartObj>
    </w:sdtPr>
    <w:sdtEndPr/>
    <w:sdtContent>
      <w:p w14:paraId="401BF8C2" w14:textId="33476D2E" w:rsidR="009E620E" w:rsidRDefault="009E620E">
        <w:pPr>
          <w:pStyle w:val="Podnoje"/>
          <w:jc w:val="right"/>
        </w:pPr>
        <w:r>
          <w:fldChar w:fldCharType="begin"/>
        </w:r>
        <w:r>
          <w:instrText>PAGE   \* MERGEFORMAT</w:instrText>
        </w:r>
        <w:r>
          <w:fldChar w:fldCharType="separate"/>
        </w:r>
        <w:r>
          <w:t>2</w:t>
        </w:r>
        <w:r>
          <w:fldChar w:fldCharType="end"/>
        </w:r>
      </w:p>
    </w:sdtContent>
  </w:sdt>
  <w:p w14:paraId="21F4D0E6" w14:textId="77777777" w:rsidR="006E3113" w:rsidRDefault="006E311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7EB5" w14:textId="08DA7736" w:rsidR="006E3113" w:rsidRDefault="006E3113">
    <w:pPr>
      <w:pStyle w:val="Podnoje"/>
      <w:jc w:val="right"/>
    </w:pPr>
  </w:p>
  <w:p w14:paraId="331C984E" w14:textId="77777777" w:rsidR="006E3113" w:rsidRDefault="006E311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3C2B" w14:textId="77777777" w:rsidR="00982238" w:rsidRDefault="00982238" w:rsidP="006E3113">
      <w:pPr>
        <w:spacing w:after="0" w:line="240" w:lineRule="auto"/>
      </w:pPr>
      <w:r>
        <w:separator/>
      </w:r>
    </w:p>
  </w:footnote>
  <w:footnote w:type="continuationSeparator" w:id="0">
    <w:p w14:paraId="5ED7B322" w14:textId="77777777" w:rsidR="00982238" w:rsidRDefault="00982238" w:rsidP="006E3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57C3"/>
    <w:multiLevelType w:val="hybridMultilevel"/>
    <w:tmpl w:val="1F267704"/>
    <w:lvl w:ilvl="0" w:tplc="BE74013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33A0DB1"/>
    <w:multiLevelType w:val="hybridMultilevel"/>
    <w:tmpl w:val="4544C9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4D61994"/>
    <w:multiLevelType w:val="hybridMultilevel"/>
    <w:tmpl w:val="1840C9D4"/>
    <w:lvl w:ilvl="0" w:tplc="D3B20EB4">
      <w:numFmt w:val="bullet"/>
      <w:lvlText w:val="-"/>
      <w:lvlJc w:val="left"/>
      <w:pPr>
        <w:ind w:left="1068" w:hanging="708"/>
      </w:pPr>
      <w:rPr>
        <w:rFonts w:ascii="Times New Roman" w:eastAsia="PMingLiU" w:hAnsi="Times New Roman" w:cs="Times New Roman" w:hint="default"/>
      </w:rPr>
    </w:lvl>
    <w:lvl w:ilvl="1" w:tplc="5068F7CC">
      <w:numFmt w:val="bullet"/>
      <w:lvlText w:val=""/>
      <w:lvlJc w:val="left"/>
      <w:pPr>
        <w:ind w:left="1788" w:hanging="708"/>
      </w:pPr>
      <w:rPr>
        <w:rFonts w:ascii="Symbol" w:eastAsia="PMingLiU" w:hAnsi="Symbol"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13162135">
    <w:abstractNumId w:val="1"/>
  </w:num>
  <w:num w:numId="2" w16cid:durableId="1375689210">
    <w:abstractNumId w:val="0"/>
  </w:num>
  <w:num w:numId="3" w16cid:durableId="123546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BB"/>
    <w:rsid w:val="00017F11"/>
    <w:rsid w:val="00025EB3"/>
    <w:rsid w:val="000444AB"/>
    <w:rsid w:val="00087323"/>
    <w:rsid w:val="00093FEC"/>
    <w:rsid w:val="00124FFB"/>
    <w:rsid w:val="001705BB"/>
    <w:rsid w:val="001A4569"/>
    <w:rsid w:val="001B1025"/>
    <w:rsid w:val="001C31BF"/>
    <w:rsid w:val="002335DA"/>
    <w:rsid w:val="00235BDD"/>
    <w:rsid w:val="002B00EE"/>
    <w:rsid w:val="002B34DC"/>
    <w:rsid w:val="002D5F4D"/>
    <w:rsid w:val="00325068"/>
    <w:rsid w:val="00357E58"/>
    <w:rsid w:val="003F6001"/>
    <w:rsid w:val="00431394"/>
    <w:rsid w:val="004E1480"/>
    <w:rsid w:val="00505CDF"/>
    <w:rsid w:val="005516FD"/>
    <w:rsid w:val="00573136"/>
    <w:rsid w:val="0059335D"/>
    <w:rsid w:val="005C12D3"/>
    <w:rsid w:val="005C5BB1"/>
    <w:rsid w:val="0060158F"/>
    <w:rsid w:val="00627C17"/>
    <w:rsid w:val="00652C78"/>
    <w:rsid w:val="006630A0"/>
    <w:rsid w:val="006E3113"/>
    <w:rsid w:val="00716AF5"/>
    <w:rsid w:val="00766C7C"/>
    <w:rsid w:val="007D1895"/>
    <w:rsid w:val="0083540C"/>
    <w:rsid w:val="00847FDA"/>
    <w:rsid w:val="008517CD"/>
    <w:rsid w:val="00852ADC"/>
    <w:rsid w:val="00862DB1"/>
    <w:rsid w:val="00873979"/>
    <w:rsid w:val="00885C39"/>
    <w:rsid w:val="008B157D"/>
    <w:rsid w:val="008B45C3"/>
    <w:rsid w:val="008F1FC8"/>
    <w:rsid w:val="00913418"/>
    <w:rsid w:val="00952915"/>
    <w:rsid w:val="00982238"/>
    <w:rsid w:val="00996FBB"/>
    <w:rsid w:val="009E620E"/>
    <w:rsid w:val="009F05E8"/>
    <w:rsid w:val="00A83418"/>
    <w:rsid w:val="00AA4385"/>
    <w:rsid w:val="00AE527D"/>
    <w:rsid w:val="00B30CCB"/>
    <w:rsid w:val="00B3555D"/>
    <w:rsid w:val="00B46E97"/>
    <w:rsid w:val="00B6278E"/>
    <w:rsid w:val="00BC033D"/>
    <w:rsid w:val="00C37045"/>
    <w:rsid w:val="00C5376C"/>
    <w:rsid w:val="00C7196B"/>
    <w:rsid w:val="00CA5FDC"/>
    <w:rsid w:val="00D94118"/>
    <w:rsid w:val="00DA6DCA"/>
    <w:rsid w:val="00DC08EE"/>
    <w:rsid w:val="00DC49CE"/>
    <w:rsid w:val="00DD0BAA"/>
    <w:rsid w:val="00DF332E"/>
    <w:rsid w:val="00E21A83"/>
    <w:rsid w:val="00E7270F"/>
    <w:rsid w:val="00E77AC1"/>
    <w:rsid w:val="00ED49A9"/>
    <w:rsid w:val="00EE71FA"/>
    <w:rsid w:val="00F56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71AC"/>
  <w15:chartTrackingRefBased/>
  <w15:docId w15:val="{AAE257D5-9CDB-43E4-8CE8-CA30CDDF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5BB"/>
    <w:pPr>
      <w:spacing w:after="200" w:line="276" w:lineRule="auto"/>
      <w:jc w:val="both"/>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170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70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705B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705B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705B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705B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05B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05B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05B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05B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705B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705B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705B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705B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705B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05B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05B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05BB"/>
    <w:rPr>
      <w:rFonts w:eastAsiaTheme="majorEastAsia" w:cstheme="majorBidi"/>
      <w:color w:val="272727" w:themeColor="text1" w:themeTint="D8"/>
    </w:rPr>
  </w:style>
  <w:style w:type="paragraph" w:styleId="Naslov">
    <w:name w:val="Title"/>
    <w:basedOn w:val="Normal"/>
    <w:next w:val="Normal"/>
    <w:link w:val="NaslovChar"/>
    <w:uiPriority w:val="10"/>
    <w:qFormat/>
    <w:rsid w:val="00170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05B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05B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05B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05BB"/>
    <w:pPr>
      <w:spacing w:before="160"/>
      <w:jc w:val="center"/>
    </w:pPr>
    <w:rPr>
      <w:i/>
      <w:iCs/>
      <w:color w:val="404040" w:themeColor="text1" w:themeTint="BF"/>
    </w:rPr>
  </w:style>
  <w:style w:type="character" w:customStyle="1" w:styleId="CitatChar">
    <w:name w:val="Citat Char"/>
    <w:basedOn w:val="Zadanifontodlomka"/>
    <w:link w:val="Citat"/>
    <w:uiPriority w:val="29"/>
    <w:rsid w:val="001705BB"/>
    <w:rPr>
      <w:i/>
      <w:iCs/>
      <w:color w:val="404040" w:themeColor="text1" w:themeTint="BF"/>
    </w:rPr>
  </w:style>
  <w:style w:type="paragraph" w:styleId="Odlomakpopisa">
    <w:name w:val="List Paragraph"/>
    <w:basedOn w:val="Normal"/>
    <w:uiPriority w:val="34"/>
    <w:qFormat/>
    <w:rsid w:val="001705BB"/>
    <w:pPr>
      <w:ind w:left="720"/>
      <w:contextualSpacing/>
    </w:pPr>
  </w:style>
  <w:style w:type="character" w:styleId="Jakoisticanje">
    <w:name w:val="Intense Emphasis"/>
    <w:basedOn w:val="Zadanifontodlomka"/>
    <w:uiPriority w:val="21"/>
    <w:qFormat/>
    <w:rsid w:val="001705BB"/>
    <w:rPr>
      <w:i/>
      <w:iCs/>
      <w:color w:val="0F4761" w:themeColor="accent1" w:themeShade="BF"/>
    </w:rPr>
  </w:style>
  <w:style w:type="paragraph" w:styleId="Naglaencitat">
    <w:name w:val="Intense Quote"/>
    <w:basedOn w:val="Normal"/>
    <w:next w:val="Normal"/>
    <w:link w:val="NaglaencitatChar"/>
    <w:uiPriority w:val="30"/>
    <w:qFormat/>
    <w:rsid w:val="00170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705BB"/>
    <w:rPr>
      <w:i/>
      <w:iCs/>
      <w:color w:val="0F4761" w:themeColor="accent1" w:themeShade="BF"/>
    </w:rPr>
  </w:style>
  <w:style w:type="character" w:styleId="Istaknutareferenca">
    <w:name w:val="Intense Reference"/>
    <w:basedOn w:val="Zadanifontodlomka"/>
    <w:uiPriority w:val="32"/>
    <w:qFormat/>
    <w:rsid w:val="001705BB"/>
    <w:rPr>
      <w:b/>
      <w:bCs/>
      <w:smallCaps/>
      <w:color w:val="0F4761" w:themeColor="accent1" w:themeShade="BF"/>
      <w:spacing w:val="5"/>
    </w:rPr>
  </w:style>
  <w:style w:type="paragraph" w:styleId="Bezproreda">
    <w:name w:val="No Spacing"/>
    <w:uiPriority w:val="1"/>
    <w:qFormat/>
    <w:rsid w:val="001705BB"/>
    <w:pPr>
      <w:spacing w:after="0" w:line="240" w:lineRule="auto"/>
      <w:jc w:val="both"/>
    </w:pPr>
    <w:rPr>
      <w:rFonts w:ascii="Times New Roman" w:eastAsia="Times New Roman" w:hAnsi="Times New Roman" w:cs="Times New Roman"/>
      <w:kern w:val="0"/>
      <w:sz w:val="24"/>
      <w:szCs w:val="24"/>
      <w:lang w:eastAsia="hr-HR"/>
      <w14:ligatures w14:val="none"/>
    </w:rPr>
  </w:style>
  <w:style w:type="table" w:styleId="Reetkatablice">
    <w:name w:val="Table Grid"/>
    <w:basedOn w:val="Obinatablica"/>
    <w:rsid w:val="001705BB"/>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3113"/>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E3113"/>
    <w:rPr>
      <w:rFonts w:ascii="Times New Roman" w:eastAsia="Times New Roman" w:hAnsi="Times New Roman" w:cs="Times New Roman"/>
      <w:kern w:val="0"/>
      <w:sz w:val="24"/>
      <w:szCs w:val="24"/>
      <w:lang w:eastAsia="hr-HR"/>
      <w14:ligatures w14:val="none"/>
    </w:rPr>
  </w:style>
  <w:style w:type="paragraph" w:styleId="Podnoje">
    <w:name w:val="footer"/>
    <w:basedOn w:val="Normal"/>
    <w:link w:val="PodnojeChar"/>
    <w:uiPriority w:val="99"/>
    <w:unhideWhenUsed/>
    <w:rsid w:val="006E3113"/>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E3113"/>
    <w:rPr>
      <w:rFonts w:ascii="Times New Roman" w:eastAsia="Times New Roman" w:hAnsi="Times New Roman" w:cs="Times New Roman"/>
      <w:kern w:val="0"/>
      <w:sz w:val="24"/>
      <w:szCs w:val="24"/>
      <w:lang w:eastAsia="hr-HR"/>
      <w14:ligatures w14:val="none"/>
    </w:rPr>
  </w:style>
  <w:style w:type="character" w:styleId="Hiperveza">
    <w:name w:val="Hyperlink"/>
    <w:rsid w:val="00885C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no@grad-svetanedelja.h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934</Words>
  <Characters>5329</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Filipović Pribil</dc:creator>
  <cp:keywords/>
  <dc:description/>
  <cp:lastModifiedBy>Matea Filipović Pribil</cp:lastModifiedBy>
  <cp:revision>46</cp:revision>
  <dcterms:created xsi:type="dcterms:W3CDTF">2025-12-03T07:39:00Z</dcterms:created>
  <dcterms:modified xsi:type="dcterms:W3CDTF">2026-09-10T11:55:00Z</dcterms:modified>
</cp:coreProperties>
</file>